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0F" w:rsidRPr="006C433A" w:rsidRDefault="006A1E0F" w:rsidP="006A1E0F">
      <w:pPr>
        <w:pStyle w:val="Heading1"/>
      </w:pPr>
      <w:r w:rsidRPr="006C433A">
        <w:t>Quintet</w:t>
      </w:r>
    </w:p>
    <w:p w:rsidR="006A1E0F" w:rsidRPr="006C433A" w:rsidRDefault="006A1E0F" w:rsidP="006A1E0F">
      <w:pPr>
        <w:pStyle w:val="Heading1"/>
      </w:pPr>
    </w:p>
    <w:p w:rsidR="006A1E0F" w:rsidRPr="006C433A" w:rsidRDefault="003D1F43" w:rsidP="00F80647">
      <w:pPr>
        <w:pStyle w:val="Heading2"/>
        <w:numPr>
          <w:ilvl w:val="0"/>
          <w:numId w:val="0"/>
        </w:numPr>
      </w:pPr>
      <w:r w:rsidRPr="006C433A">
        <w:t>VERKLARING ONGUNSTIGE EFFECTEN DUURZAAMHEID</w:t>
      </w:r>
      <w:r w:rsidR="006A1E0F" w:rsidRPr="006C433A">
        <w:t xml:space="preserve"> </w:t>
      </w:r>
      <w:r w:rsidR="00077E6C" w:rsidRPr="006C433A">
        <w:t>(</w:t>
      </w:r>
      <w:r w:rsidR="00B9647B" w:rsidRPr="006C433A">
        <w:t>“</w:t>
      </w:r>
      <w:r w:rsidR="00077E6C" w:rsidRPr="006C433A">
        <w:t>PASI</w:t>
      </w:r>
      <w:r w:rsidR="00B9647B" w:rsidRPr="006C433A">
        <w:t>”</w:t>
      </w:r>
      <w:r w:rsidR="00077E6C" w:rsidRPr="006C433A">
        <w:t xml:space="preserve">) </w:t>
      </w:r>
    </w:p>
    <w:p w:rsidR="006A1E0F" w:rsidRPr="00F80647" w:rsidRDefault="006A1E0F" w:rsidP="006A1E0F"/>
    <w:p w:rsidR="006A1E0F" w:rsidRPr="00F80647" w:rsidRDefault="006A1E0F" w:rsidP="006A1E0F"/>
    <w:p w:rsidR="006A1E0F" w:rsidRPr="00072454" w:rsidRDefault="006A1E0F" w:rsidP="00FD7307">
      <w:pPr>
        <w:spacing w:line="240" w:lineRule="auto"/>
        <w:rPr>
          <w:color w:val="auto"/>
          <w:sz w:val="22"/>
          <w:szCs w:val="22"/>
        </w:rPr>
      </w:pPr>
      <w:r w:rsidRPr="00072454">
        <w:rPr>
          <w:color w:val="auto"/>
          <w:sz w:val="22"/>
          <w:szCs w:val="22"/>
        </w:rPr>
        <w:t xml:space="preserve">Name FMP: </w:t>
      </w:r>
      <w:r w:rsidR="00FC19A0">
        <w:rPr>
          <w:color w:val="auto"/>
          <w:sz w:val="22"/>
          <w:szCs w:val="22"/>
        </w:rPr>
        <w:t>InsingerGilissen, bijkantoor van Quintet Private Bank (Europe) SA</w:t>
      </w:r>
    </w:p>
    <w:p w:rsidR="006A1E0F" w:rsidRPr="00FC19A0" w:rsidRDefault="006A1E0F" w:rsidP="00FD7307">
      <w:pPr>
        <w:spacing w:line="240" w:lineRule="auto"/>
        <w:rPr>
          <w:color w:val="auto"/>
          <w:sz w:val="22"/>
          <w:szCs w:val="22"/>
        </w:rPr>
      </w:pPr>
      <w:r w:rsidRPr="00FC19A0">
        <w:rPr>
          <w:color w:val="auto"/>
          <w:sz w:val="22"/>
          <w:szCs w:val="22"/>
        </w:rPr>
        <w:t xml:space="preserve">LEI of FMP: </w:t>
      </w:r>
      <w:r w:rsidR="00FC19A0">
        <w:rPr>
          <w:color w:val="auto"/>
          <w:sz w:val="22"/>
          <w:szCs w:val="22"/>
        </w:rPr>
        <w:t>KHCL65TP05J1HUW2D560</w:t>
      </w:r>
    </w:p>
    <w:p w:rsidR="006A1E0F" w:rsidRPr="00FC19A0" w:rsidRDefault="006A1E0F" w:rsidP="006A1E0F"/>
    <w:p w:rsidR="006A1E0F" w:rsidRPr="006C433A" w:rsidRDefault="006A1E0F" w:rsidP="00FD7307">
      <w:pPr>
        <w:spacing w:line="240" w:lineRule="auto"/>
        <w:rPr>
          <w:b/>
          <w:bCs/>
        </w:rPr>
      </w:pPr>
      <w:r w:rsidRPr="006C433A">
        <w:rPr>
          <w:b/>
          <w:bCs/>
          <w:color w:val="auto"/>
          <w:sz w:val="22"/>
          <w:szCs w:val="22"/>
        </w:rPr>
        <w:t>In</w:t>
      </w:r>
      <w:r w:rsidR="003D1F43" w:rsidRPr="006C433A">
        <w:rPr>
          <w:b/>
          <w:bCs/>
          <w:color w:val="auto"/>
          <w:sz w:val="22"/>
          <w:szCs w:val="22"/>
        </w:rPr>
        <w:t>leiding</w:t>
      </w:r>
    </w:p>
    <w:p w:rsidR="006A1E0F" w:rsidRPr="006C433A" w:rsidRDefault="003D1F43" w:rsidP="00FD7307">
      <w:pPr>
        <w:spacing w:line="240" w:lineRule="auto"/>
        <w:rPr>
          <w:color w:val="auto"/>
          <w:sz w:val="22"/>
          <w:szCs w:val="22"/>
        </w:rPr>
      </w:pPr>
      <w:r w:rsidRPr="006C433A">
        <w:rPr>
          <w:color w:val="auto"/>
          <w:sz w:val="22"/>
          <w:szCs w:val="22"/>
        </w:rPr>
        <w:t xml:space="preserve">Het duurzaamheidsbeleid van Quintet beslaat een breed scala aan duurzaamheidsaspecten die in onze dagelijkse besluitvorming over </w:t>
      </w:r>
      <w:r w:rsidR="00320C40">
        <w:rPr>
          <w:color w:val="auto"/>
          <w:sz w:val="22"/>
          <w:szCs w:val="22"/>
        </w:rPr>
        <w:t>belegginge</w:t>
      </w:r>
      <w:r w:rsidRPr="006C433A">
        <w:rPr>
          <w:color w:val="auto"/>
          <w:sz w:val="22"/>
          <w:szCs w:val="22"/>
        </w:rPr>
        <w:t xml:space="preserve">n worden meegenomen. Hieronder vallen ook de </w:t>
      </w:r>
      <w:r w:rsidR="00023B7F">
        <w:rPr>
          <w:color w:val="auto"/>
          <w:sz w:val="22"/>
          <w:szCs w:val="22"/>
        </w:rPr>
        <w:t>belangrijkste ongunstige</w:t>
      </w:r>
      <w:r w:rsidRPr="006C433A">
        <w:rPr>
          <w:color w:val="auto"/>
          <w:sz w:val="22"/>
          <w:szCs w:val="22"/>
        </w:rPr>
        <w:t xml:space="preserve"> effecten van onze </w:t>
      </w:r>
      <w:r w:rsidR="00023B7F">
        <w:rPr>
          <w:color w:val="auto"/>
          <w:sz w:val="22"/>
          <w:szCs w:val="22"/>
        </w:rPr>
        <w:t>beleggingsbeslissingen</w:t>
      </w:r>
      <w:r w:rsidRPr="006C433A">
        <w:rPr>
          <w:color w:val="auto"/>
          <w:sz w:val="22"/>
          <w:szCs w:val="22"/>
        </w:rPr>
        <w:t xml:space="preserve"> op duurzaamheidsfactoren</w:t>
      </w:r>
      <w:r w:rsidR="00B9647B" w:rsidRPr="006C433A">
        <w:rPr>
          <w:color w:val="auto"/>
          <w:sz w:val="22"/>
          <w:szCs w:val="22"/>
        </w:rPr>
        <w:t xml:space="preserve"> (hierna: “</w:t>
      </w:r>
      <w:proofErr w:type="spellStart"/>
      <w:r w:rsidR="00B9647B" w:rsidRPr="006C433A">
        <w:rPr>
          <w:color w:val="auto"/>
          <w:sz w:val="22"/>
          <w:szCs w:val="22"/>
        </w:rPr>
        <w:t>PAI’s</w:t>
      </w:r>
      <w:proofErr w:type="spellEnd"/>
      <w:r w:rsidR="00B9647B" w:rsidRPr="006C433A">
        <w:rPr>
          <w:color w:val="auto"/>
          <w:sz w:val="22"/>
          <w:szCs w:val="22"/>
        </w:rPr>
        <w:t>”</w:t>
      </w:r>
      <w:r w:rsidR="00023B7F">
        <w:rPr>
          <w:color w:val="auto"/>
          <w:sz w:val="22"/>
          <w:szCs w:val="22"/>
        </w:rPr>
        <w:t xml:space="preserve">, dat staat voor </w:t>
      </w:r>
      <w:proofErr w:type="spellStart"/>
      <w:r w:rsidR="00023B7F" w:rsidRPr="00F80647">
        <w:rPr>
          <w:i/>
          <w:color w:val="auto"/>
          <w:sz w:val="22"/>
          <w:szCs w:val="22"/>
        </w:rPr>
        <w:t>Principal</w:t>
      </w:r>
      <w:proofErr w:type="spellEnd"/>
      <w:r w:rsidR="00023B7F" w:rsidRPr="00F80647">
        <w:rPr>
          <w:i/>
          <w:color w:val="auto"/>
          <w:sz w:val="22"/>
          <w:szCs w:val="22"/>
        </w:rPr>
        <w:t xml:space="preserve"> Adverse Impacts</w:t>
      </w:r>
      <w:r w:rsidR="00D27D2C">
        <w:rPr>
          <w:i/>
          <w:color w:val="auto"/>
          <w:sz w:val="22"/>
          <w:szCs w:val="22"/>
        </w:rPr>
        <w:t xml:space="preserve">, soms ook bekend als </w:t>
      </w:r>
      <w:proofErr w:type="spellStart"/>
      <w:r w:rsidR="00D27D2C">
        <w:rPr>
          <w:i/>
          <w:color w:val="auto"/>
          <w:sz w:val="22"/>
          <w:szCs w:val="22"/>
        </w:rPr>
        <w:t>Principal</w:t>
      </w:r>
      <w:proofErr w:type="spellEnd"/>
      <w:r w:rsidR="00D27D2C">
        <w:rPr>
          <w:i/>
          <w:color w:val="auto"/>
          <w:sz w:val="22"/>
          <w:szCs w:val="22"/>
        </w:rPr>
        <w:t xml:space="preserve"> Adverse </w:t>
      </w:r>
      <w:proofErr w:type="spellStart"/>
      <w:r w:rsidR="00D27D2C">
        <w:rPr>
          <w:i/>
          <w:color w:val="auto"/>
          <w:sz w:val="22"/>
          <w:szCs w:val="22"/>
        </w:rPr>
        <w:t>Sustainability</w:t>
      </w:r>
      <w:proofErr w:type="spellEnd"/>
      <w:r w:rsidR="00D27D2C">
        <w:rPr>
          <w:i/>
          <w:color w:val="auto"/>
          <w:sz w:val="22"/>
          <w:szCs w:val="22"/>
        </w:rPr>
        <w:t xml:space="preserve"> Impacts, afgekort als “PASI”</w:t>
      </w:r>
      <w:r w:rsidR="00B9647B" w:rsidRPr="006C433A">
        <w:rPr>
          <w:color w:val="auto"/>
          <w:sz w:val="22"/>
          <w:szCs w:val="22"/>
        </w:rPr>
        <w:t>).</w:t>
      </w:r>
    </w:p>
    <w:p w:rsidR="00FD7307" w:rsidRPr="006C433A" w:rsidRDefault="00FD7307" w:rsidP="00FD7307">
      <w:pPr>
        <w:spacing w:line="240" w:lineRule="auto"/>
        <w:rPr>
          <w:color w:val="auto"/>
          <w:sz w:val="22"/>
          <w:szCs w:val="22"/>
        </w:rPr>
      </w:pPr>
    </w:p>
    <w:p w:rsidR="003B152A" w:rsidRPr="006C433A" w:rsidRDefault="003B152A" w:rsidP="00FD7307">
      <w:pPr>
        <w:spacing w:line="240" w:lineRule="auto"/>
        <w:rPr>
          <w:color w:val="auto"/>
          <w:sz w:val="22"/>
          <w:szCs w:val="22"/>
        </w:rPr>
      </w:pPr>
      <w:r w:rsidRPr="006C433A">
        <w:rPr>
          <w:color w:val="auto"/>
          <w:sz w:val="22"/>
          <w:szCs w:val="22"/>
        </w:rPr>
        <w:t>Quintet h</w:t>
      </w:r>
      <w:r w:rsidR="00B9647B" w:rsidRPr="006C433A">
        <w:rPr>
          <w:color w:val="auto"/>
          <w:sz w:val="22"/>
          <w:szCs w:val="22"/>
        </w:rPr>
        <w:t xml:space="preserve">anteert een </w:t>
      </w:r>
      <w:r w:rsidR="00146E2F">
        <w:rPr>
          <w:color w:val="auto"/>
          <w:sz w:val="22"/>
          <w:szCs w:val="22"/>
        </w:rPr>
        <w:t xml:space="preserve">zogenaamd </w:t>
      </w:r>
      <w:proofErr w:type="spellStart"/>
      <w:r w:rsidR="00B9647B" w:rsidRPr="006C433A">
        <w:rPr>
          <w:color w:val="auto"/>
          <w:sz w:val="22"/>
          <w:szCs w:val="22"/>
        </w:rPr>
        <w:t>due</w:t>
      </w:r>
      <w:proofErr w:type="spellEnd"/>
      <w:r w:rsidR="00B9647B" w:rsidRPr="006C433A">
        <w:rPr>
          <w:color w:val="auto"/>
          <w:sz w:val="22"/>
          <w:szCs w:val="22"/>
        </w:rPr>
        <w:t xml:space="preserve"> diligence-beleid om </w:t>
      </w:r>
      <w:proofErr w:type="spellStart"/>
      <w:r w:rsidR="00B9647B" w:rsidRPr="006C433A">
        <w:rPr>
          <w:color w:val="auto"/>
          <w:sz w:val="22"/>
          <w:szCs w:val="22"/>
        </w:rPr>
        <w:t>PAI’s</w:t>
      </w:r>
      <w:proofErr w:type="spellEnd"/>
      <w:r w:rsidR="00B9647B" w:rsidRPr="006C433A">
        <w:rPr>
          <w:color w:val="auto"/>
          <w:sz w:val="22"/>
          <w:szCs w:val="22"/>
        </w:rPr>
        <w:t xml:space="preserve"> te identificeren, te meten en te beoordelen, en </w:t>
      </w:r>
      <w:r w:rsidR="00172BE4">
        <w:rPr>
          <w:color w:val="auto"/>
          <w:sz w:val="22"/>
          <w:szCs w:val="22"/>
        </w:rPr>
        <w:t>deze mee te laten wegen</w:t>
      </w:r>
      <w:r w:rsidR="00B9647B" w:rsidRPr="006C433A">
        <w:rPr>
          <w:color w:val="auto"/>
          <w:sz w:val="22"/>
          <w:szCs w:val="22"/>
        </w:rPr>
        <w:t xml:space="preserve"> in onze beleggingsbeslissingen. De wijze waarop deze in aanmerking worden genomen is een combinatie van verschillende methodes, zoals </w:t>
      </w:r>
      <w:r w:rsidR="00F642C4" w:rsidRPr="006C433A">
        <w:rPr>
          <w:color w:val="auto"/>
          <w:sz w:val="22"/>
          <w:szCs w:val="22"/>
        </w:rPr>
        <w:t>engagement</w:t>
      </w:r>
      <w:r w:rsidR="003A2B81">
        <w:rPr>
          <w:color w:val="auto"/>
          <w:sz w:val="22"/>
          <w:szCs w:val="22"/>
        </w:rPr>
        <w:t xml:space="preserve"> (in dialoog gaan met de ondernemingen)</w:t>
      </w:r>
      <w:r w:rsidR="00F642C4" w:rsidRPr="006C433A">
        <w:rPr>
          <w:color w:val="auto"/>
          <w:sz w:val="22"/>
          <w:szCs w:val="22"/>
        </w:rPr>
        <w:t xml:space="preserve">, </w:t>
      </w:r>
      <w:r w:rsidR="00323738" w:rsidRPr="006C433A">
        <w:rPr>
          <w:color w:val="auto"/>
          <w:sz w:val="22"/>
          <w:szCs w:val="22"/>
        </w:rPr>
        <w:t>stemmen</w:t>
      </w:r>
      <w:r w:rsidR="00F642C4" w:rsidRPr="006C433A">
        <w:rPr>
          <w:color w:val="auto"/>
          <w:sz w:val="22"/>
          <w:szCs w:val="22"/>
        </w:rPr>
        <w:t xml:space="preserve"> en uitsluiting. Quintet biedt een reeks financiële </w:t>
      </w:r>
      <w:r w:rsidR="006C433A" w:rsidRPr="006C433A">
        <w:rPr>
          <w:color w:val="auto"/>
          <w:sz w:val="22"/>
          <w:szCs w:val="22"/>
        </w:rPr>
        <w:t>producten in</w:t>
      </w:r>
      <w:r w:rsidR="00F642C4" w:rsidRPr="006C433A">
        <w:rPr>
          <w:color w:val="auto"/>
          <w:sz w:val="22"/>
          <w:szCs w:val="22"/>
        </w:rPr>
        <w:t xml:space="preserve"> verschillende vermogenscategorieën, met verschillende beleggingsstrategieën, beleggingsdoelen, en bindende regels met betrekking tot duurzaamheidsfactoren. Quintet </w:t>
      </w:r>
      <w:r w:rsidR="003A2B81">
        <w:rPr>
          <w:color w:val="auto"/>
          <w:sz w:val="22"/>
          <w:szCs w:val="22"/>
        </w:rPr>
        <w:t xml:space="preserve">belegt </w:t>
      </w:r>
      <w:r w:rsidR="00F642C4" w:rsidRPr="006C433A">
        <w:rPr>
          <w:color w:val="auto"/>
          <w:sz w:val="22"/>
          <w:szCs w:val="22"/>
        </w:rPr>
        <w:t xml:space="preserve">een belangrijk deel van het vermogen van haar cliënten </w:t>
      </w:r>
      <w:r w:rsidR="003A2B81">
        <w:rPr>
          <w:color w:val="auto"/>
          <w:sz w:val="22"/>
          <w:szCs w:val="22"/>
        </w:rPr>
        <w:t>in</w:t>
      </w:r>
      <w:r w:rsidR="00F642C4" w:rsidRPr="006C433A">
        <w:rPr>
          <w:color w:val="auto"/>
          <w:sz w:val="22"/>
          <w:szCs w:val="22"/>
        </w:rPr>
        <w:t xml:space="preserve"> financiële producten van externe beheerders. Daardoor kan de exacte combinatie en toepassing van onze methodes verschillen per financieel product. Maar waar mogelijk en haalbaar, hanteren we minimumwaarborgen die passen bij de aard va</w:t>
      </w:r>
      <w:r w:rsidR="008F6D4E">
        <w:rPr>
          <w:color w:val="auto"/>
          <w:sz w:val="22"/>
          <w:szCs w:val="22"/>
        </w:rPr>
        <w:t xml:space="preserve">n het financiële product. </w:t>
      </w:r>
      <w:bookmarkStart w:id="0" w:name="_GoBack"/>
      <w:bookmarkEnd w:id="0"/>
      <w:r w:rsidR="008F6D4E" w:rsidRPr="008F6D4E">
        <w:rPr>
          <w:color w:val="auto"/>
          <w:sz w:val="22"/>
          <w:szCs w:val="22"/>
        </w:rPr>
        <w:t xml:space="preserve">Bij advisering over financiële producten (zoals beleggingsfondsen), maakt Quintet eenzelfde afweging tussen de mogelijke ongunstige effecten op duurzaamheidsfactoren. </w:t>
      </w:r>
      <w:r w:rsidRPr="006C433A">
        <w:rPr>
          <w:color w:val="auto"/>
          <w:sz w:val="22"/>
          <w:szCs w:val="22"/>
        </w:rPr>
        <w:t xml:space="preserve"> </w:t>
      </w:r>
    </w:p>
    <w:p w:rsidR="003B152A" w:rsidRPr="006C433A" w:rsidRDefault="003B152A" w:rsidP="00FD7307">
      <w:pPr>
        <w:spacing w:line="240" w:lineRule="auto"/>
        <w:rPr>
          <w:color w:val="auto"/>
          <w:sz w:val="22"/>
          <w:szCs w:val="22"/>
        </w:rPr>
      </w:pPr>
    </w:p>
    <w:p w:rsidR="006A1E0F" w:rsidRPr="006C433A" w:rsidRDefault="006A1E0F" w:rsidP="00FD7307">
      <w:pPr>
        <w:spacing w:line="240" w:lineRule="auto"/>
        <w:rPr>
          <w:color w:val="auto"/>
          <w:sz w:val="22"/>
          <w:szCs w:val="22"/>
        </w:rPr>
      </w:pPr>
      <w:r w:rsidRPr="006C433A">
        <w:rPr>
          <w:color w:val="auto"/>
          <w:sz w:val="22"/>
          <w:szCs w:val="22"/>
        </w:rPr>
        <w:t xml:space="preserve">In </w:t>
      </w:r>
      <w:r w:rsidR="00577890" w:rsidRPr="006C433A">
        <w:rPr>
          <w:color w:val="auto"/>
          <w:sz w:val="22"/>
          <w:szCs w:val="22"/>
        </w:rPr>
        <w:t xml:space="preserve">overeenstemming met de vereisten van de Europese </w:t>
      </w:r>
      <w:r w:rsidR="007618E9">
        <w:rPr>
          <w:color w:val="auto"/>
          <w:sz w:val="22"/>
          <w:szCs w:val="22"/>
        </w:rPr>
        <w:t>Verordening betreffende Informat</w:t>
      </w:r>
      <w:r w:rsidR="00146E2F">
        <w:rPr>
          <w:color w:val="auto"/>
          <w:sz w:val="22"/>
          <w:szCs w:val="22"/>
        </w:rPr>
        <w:t>i</w:t>
      </w:r>
      <w:r w:rsidR="007618E9">
        <w:rPr>
          <w:color w:val="auto"/>
          <w:sz w:val="22"/>
          <w:szCs w:val="22"/>
        </w:rPr>
        <w:t>e</w:t>
      </w:r>
      <w:r w:rsidR="003C23CA">
        <w:rPr>
          <w:color w:val="auto"/>
          <w:sz w:val="22"/>
          <w:szCs w:val="22"/>
        </w:rPr>
        <w:t xml:space="preserve"> </w:t>
      </w:r>
      <w:r w:rsidR="007618E9">
        <w:rPr>
          <w:color w:val="auto"/>
          <w:sz w:val="22"/>
          <w:szCs w:val="22"/>
        </w:rPr>
        <w:t>verschaffing over duurzaamheid in de financiële</w:t>
      </w:r>
      <w:r w:rsidR="003C23CA">
        <w:rPr>
          <w:color w:val="auto"/>
          <w:sz w:val="22"/>
          <w:szCs w:val="22"/>
        </w:rPr>
        <w:t xml:space="preserve"> </w:t>
      </w:r>
      <w:r w:rsidR="007618E9">
        <w:rPr>
          <w:color w:val="auto"/>
          <w:sz w:val="22"/>
          <w:szCs w:val="22"/>
        </w:rPr>
        <w:t>dienstensector</w:t>
      </w:r>
      <w:r w:rsidR="007C6150" w:rsidRPr="006C433A">
        <w:rPr>
          <w:color w:val="auto"/>
          <w:sz w:val="22"/>
          <w:szCs w:val="22"/>
        </w:rPr>
        <w:t xml:space="preserve"> (</w:t>
      </w:r>
      <w:r w:rsidR="007618E9">
        <w:rPr>
          <w:color w:val="auto"/>
          <w:sz w:val="22"/>
          <w:szCs w:val="22"/>
        </w:rPr>
        <w:t xml:space="preserve">in het Engels afgekort als </w:t>
      </w:r>
      <w:r w:rsidR="007C6150" w:rsidRPr="006C433A">
        <w:rPr>
          <w:color w:val="auto"/>
          <w:sz w:val="22"/>
          <w:szCs w:val="22"/>
        </w:rPr>
        <w:t>“SFDR”)</w:t>
      </w:r>
      <w:r w:rsidRPr="006C433A">
        <w:rPr>
          <w:color w:val="auto"/>
          <w:sz w:val="22"/>
          <w:szCs w:val="22"/>
        </w:rPr>
        <w:t xml:space="preserve">, </w:t>
      </w:r>
      <w:r w:rsidR="003C713C" w:rsidRPr="006C433A">
        <w:rPr>
          <w:color w:val="auto"/>
          <w:sz w:val="22"/>
          <w:szCs w:val="22"/>
        </w:rPr>
        <w:t xml:space="preserve">geeft </w:t>
      </w:r>
      <w:r w:rsidR="00172BE4" w:rsidRPr="006C433A">
        <w:rPr>
          <w:color w:val="auto"/>
          <w:sz w:val="22"/>
          <w:szCs w:val="22"/>
        </w:rPr>
        <w:t xml:space="preserve">Quintet </w:t>
      </w:r>
      <w:r w:rsidR="003C713C" w:rsidRPr="006C433A">
        <w:rPr>
          <w:color w:val="auto"/>
          <w:sz w:val="22"/>
          <w:szCs w:val="22"/>
        </w:rPr>
        <w:t>op entiteitsniveau informatie o</w:t>
      </w:r>
      <w:r w:rsidR="007618E9">
        <w:rPr>
          <w:color w:val="auto"/>
          <w:sz w:val="22"/>
          <w:szCs w:val="22"/>
        </w:rPr>
        <w:t>ver</w:t>
      </w:r>
      <w:r w:rsidR="003C713C" w:rsidRPr="006C433A">
        <w:rPr>
          <w:color w:val="auto"/>
          <w:sz w:val="22"/>
          <w:szCs w:val="22"/>
        </w:rPr>
        <w:t xml:space="preserve"> de manier waarop rekening wordt gehouden met </w:t>
      </w:r>
      <w:proofErr w:type="spellStart"/>
      <w:r w:rsidR="003C713C" w:rsidRPr="006C433A">
        <w:rPr>
          <w:color w:val="auto"/>
          <w:sz w:val="22"/>
          <w:szCs w:val="22"/>
        </w:rPr>
        <w:t>PAI’s</w:t>
      </w:r>
      <w:proofErr w:type="spellEnd"/>
      <w:r w:rsidR="003C713C" w:rsidRPr="006C433A">
        <w:rPr>
          <w:color w:val="auto"/>
          <w:sz w:val="22"/>
          <w:szCs w:val="22"/>
        </w:rPr>
        <w:t xml:space="preserve">. Daarnaast brengt Quintet jaarlijks verslag uit over de verplichte en bepaalde andere </w:t>
      </w:r>
      <w:proofErr w:type="spellStart"/>
      <w:r w:rsidR="003C713C" w:rsidRPr="006C433A">
        <w:rPr>
          <w:color w:val="auto"/>
          <w:sz w:val="22"/>
          <w:szCs w:val="22"/>
        </w:rPr>
        <w:t>PAI’s</w:t>
      </w:r>
      <w:proofErr w:type="spellEnd"/>
      <w:r w:rsidR="003C713C" w:rsidRPr="006C433A">
        <w:rPr>
          <w:color w:val="auto"/>
          <w:sz w:val="22"/>
          <w:szCs w:val="22"/>
        </w:rPr>
        <w:t xml:space="preserve"> voor onze beleggingen. In deze Duurzaamheidsverklaring hebben we een overzicht opgenomen </w:t>
      </w:r>
      <w:r w:rsidR="00806AF2">
        <w:rPr>
          <w:color w:val="auto"/>
          <w:sz w:val="22"/>
          <w:szCs w:val="22"/>
        </w:rPr>
        <w:t>van</w:t>
      </w:r>
      <w:r w:rsidR="003C713C" w:rsidRPr="006C433A">
        <w:rPr>
          <w:color w:val="auto"/>
          <w:sz w:val="22"/>
          <w:szCs w:val="22"/>
        </w:rPr>
        <w:t xml:space="preserve"> hoe we op dit moment rekening houden met </w:t>
      </w:r>
      <w:proofErr w:type="spellStart"/>
      <w:r w:rsidR="003C713C" w:rsidRPr="006C433A">
        <w:rPr>
          <w:color w:val="auto"/>
          <w:sz w:val="22"/>
          <w:szCs w:val="22"/>
        </w:rPr>
        <w:t>PAI’s</w:t>
      </w:r>
      <w:proofErr w:type="spellEnd"/>
      <w:r w:rsidR="003C713C" w:rsidRPr="006C433A">
        <w:rPr>
          <w:color w:val="auto"/>
          <w:sz w:val="22"/>
          <w:szCs w:val="22"/>
        </w:rPr>
        <w:t xml:space="preserve"> (zie hoofdstuk A). Dit is gebaseerd op de door de Europese regelge</w:t>
      </w:r>
      <w:r w:rsidR="00024418" w:rsidRPr="006C433A">
        <w:rPr>
          <w:color w:val="auto"/>
          <w:sz w:val="22"/>
          <w:szCs w:val="22"/>
        </w:rPr>
        <w:t xml:space="preserve">ver in concept opgestelde lijst van </w:t>
      </w:r>
      <w:proofErr w:type="spellStart"/>
      <w:r w:rsidR="00024418" w:rsidRPr="006C433A">
        <w:rPr>
          <w:color w:val="auto"/>
          <w:sz w:val="22"/>
          <w:szCs w:val="22"/>
        </w:rPr>
        <w:t>PAI’s</w:t>
      </w:r>
      <w:proofErr w:type="spellEnd"/>
      <w:r w:rsidR="00561A2F" w:rsidRPr="006C433A">
        <w:rPr>
          <w:color w:val="auto"/>
          <w:sz w:val="22"/>
          <w:szCs w:val="22"/>
        </w:rPr>
        <w:t xml:space="preserve">. Aangezien dit nog een </w:t>
      </w:r>
      <w:r w:rsidR="00323738" w:rsidRPr="006C433A">
        <w:rPr>
          <w:color w:val="auto"/>
          <w:sz w:val="22"/>
          <w:szCs w:val="22"/>
        </w:rPr>
        <w:t xml:space="preserve">concept is, kunnen de exacte verplichte en optionele </w:t>
      </w:r>
      <w:proofErr w:type="spellStart"/>
      <w:r w:rsidR="00323738" w:rsidRPr="006C433A">
        <w:rPr>
          <w:color w:val="auto"/>
          <w:sz w:val="22"/>
          <w:szCs w:val="22"/>
        </w:rPr>
        <w:t>PAI’s</w:t>
      </w:r>
      <w:proofErr w:type="spellEnd"/>
      <w:r w:rsidR="00323738" w:rsidRPr="006C433A">
        <w:rPr>
          <w:color w:val="auto"/>
          <w:sz w:val="22"/>
          <w:szCs w:val="22"/>
        </w:rPr>
        <w:t xml:space="preserve"> nog wijzigen. Zodra er meer duidelijkheid is over de definitieve lijst, zullen we in onze beleggingsstrategie de verplichte </w:t>
      </w:r>
      <w:proofErr w:type="spellStart"/>
      <w:r w:rsidR="00323738" w:rsidRPr="006C433A">
        <w:rPr>
          <w:color w:val="auto"/>
          <w:sz w:val="22"/>
          <w:szCs w:val="22"/>
        </w:rPr>
        <w:t>PAI’s</w:t>
      </w:r>
      <w:proofErr w:type="spellEnd"/>
      <w:r w:rsidR="00323738" w:rsidRPr="006C433A">
        <w:rPr>
          <w:color w:val="auto"/>
          <w:sz w:val="22"/>
          <w:szCs w:val="22"/>
        </w:rPr>
        <w:t xml:space="preserve"> opnemen die daar nog geen deel van uitmaken. Dit houdt in dat we deze </w:t>
      </w:r>
      <w:proofErr w:type="spellStart"/>
      <w:r w:rsidR="00323738" w:rsidRPr="006C433A">
        <w:rPr>
          <w:color w:val="auto"/>
          <w:sz w:val="22"/>
          <w:szCs w:val="22"/>
        </w:rPr>
        <w:t>PAI’s</w:t>
      </w:r>
      <w:proofErr w:type="spellEnd"/>
      <w:r w:rsidR="00323738" w:rsidRPr="006C433A">
        <w:rPr>
          <w:color w:val="auto"/>
          <w:sz w:val="22"/>
          <w:szCs w:val="22"/>
        </w:rPr>
        <w:t xml:space="preserve"> dan in on</w:t>
      </w:r>
      <w:r w:rsidR="006C433A">
        <w:rPr>
          <w:color w:val="auto"/>
          <w:sz w:val="22"/>
          <w:szCs w:val="22"/>
        </w:rPr>
        <w:t>s</w:t>
      </w:r>
      <w:r w:rsidR="00323738" w:rsidRPr="006C433A">
        <w:rPr>
          <w:color w:val="auto"/>
          <w:sz w:val="22"/>
          <w:szCs w:val="22"/>
        </w:rPr>
        <w:t xml:space="preserve"> </w:t>
      </w:r>
      <w:r w:rsidR="00423D7F">
        <w:rPr>
          <w:color w:val="auto"/>
          <w:sz w:val="22"/>
          <w:szCs w:val="22"/>
        </w:rPr>
        <w:t>Beleid Duurzaam Beleggen</w:t>
      </w:r>
      <w:r w:rsidR="00323738" w:rsidRPr="006C433A">
        <w:rPr>
          <w:color w:val="auto"/>
          <w:sz w:val="22"/>
          <w:szCs w:val="22"/>
        </w:rPr>
        <w:t xml:space="preserve">, monitoring en </w:t>
      </w:r>
      <w:r w:rsidR="0007433C">
        <w:rPr>
          <w:color w:val="auto"/>
          <w:sz w:val="22"/>
          <w:szCs w:val="22"/>
        </w:rPr>
        <w:t>verslaglegging</w:t>
      </w:r>
      <w:r w:rsidR="00323738" w:rsidRPr="006C433A">
        <w:rPr>
          <w:color w:val="auto"/>
          <w:sz w:val="22"/>
          <w:szCs w:val="22"/>
        </w:rPr>
        <w:t xml:space="preserve"> opnemen. Bij gebrek aan betrouwbare gegevens voor bepaalde </w:t>
      </w:r>
      <w:proofErr w:type="spellStart"/>
      <w:r w:rsidR="00323738" w:rsidRPr="006C433A">
        <w:rPr>
          <w:color w:val="auto"/>
          <w:sz w:val="22"/>
          <w:szCs w:val="22"/>
        </w:rPr>
        <w:t>PAI’s</w:t>
      </w:r>
      <w:proofErr w:type="spellEnd"/>
      <w:r w:rsidR="00323738" w:rsidRPr="006C433A">
        <w:rPr>
          <w:color w:val="auto"/>
          <w:sz w:val="22"/>
          <w:szCs w:val="22"/>
        </w:rPr>
        <w:t xml:space="preserve"> zullen we bovendien aangeven wat we doen om die gegevens te krijgen.</w:t>
      </w:r>
      <w:r w:rsidRPr="006C433A">
        <w:rPr>
          <w:color w:val="auto"/>
          <w:sz w:val="22"/>
          <w:szCs w:val="22"/>
        </w:rPr>
        <w:t xml:space="preserve"> </w:t>
      </w:r>
    </w:p>
    <w:p w:rsidR="006A1E0F" w:rsidRPr="006C433A" w:rsidRDefault="006A1E0F" w:rsidP="00FD7307">
      <w:pPr>
        <w:spacing w:line="240" w:lineRule="auto"/>
        <w:rPr>
          <w:color w:val="auto"/>
          <w:sz w:val="22"/>
          <w:szCs w:val="22"/>
        </w:rPr>
      </w:pPr>
    </w:p>
    <w:p w:rsidR="006A1E0F" w:rsidRPr="006C433A" w:rsidRDefault="004F2408" w:rsidP="00FD7307">
      <w:pPr>
        <w:spacing w:line="240" w:lineRule="auto"/>
        <w:rPr>
          <w:color w:val="auto"/>
          <w:sz w:val="22"/>
          <w:szCs w:val="22"/>
        </w:rPr>
      </w:pPr>
      <w:r w:rsidRPr="006C433A">
        <w:rPr>
          <w:color w:val="auto"/>
          <w:sz w:val="22"/>
          <w:szCs w:val="22"/>
        </w:rPr>
        <w:t xml:space="preserve">Deze PASI-verklaring bevat extra informatie over hoe bij Quintent </w:t>
      </w:r>
      <w:proofErr w:type="spellStart"/>
      <w:r w:rsidRPr="006C433A">
        <w:rPr>
          <w:color w:val="auto"/>
          <w:sz w:val="22"/>
          <w:szCs w:val="22"/>
        </w:rPr>
        <w:t>PAI’s</w:t>
      </w:r>
      <w:proofErr w:type="spellEnd"/>
      <w:r w:rsidRPr="006C433A">
        <w:rPr>
          <w:color w:val="auto"/>
          <w:sz w:val="22"/>
          <w:szCs w:val="22"/>
        </w:rPr>
        <w:t xml:space="preserve"> in aanmerking worden genomen. De verklaring is als volgt ingedeeld</w:t>
      </w:r>
      <w:r w:rsidR="006A1E0F" w:rsidRPr="006C433A">
        <w:rPr>
          <w:color w:val="auto"/>
          <w:sz w:val="22"/>
          <w:szCs w:val="22"/>
        </w:rPr>
        <w:t>:</w:t>
      </w:r>
    </w:p>
    <w:p w:rsidR="006A1E0F" w:rsidRPr="006C433A" w:rsidRDefault="004F2408" w:rsidP="00FD7307">
      <w:pPr>
        <w:pStyle w:val="ListParagraph"/>
        <w:numPr>
          <w:ilvl w:val="0"/>
          <w:numId w:val="26"/>
        </w:numPr>
        <w:rPr>
          <w:color w:val="222222" w:themeColor="text1"/>
          <w:sz w:val="22"/>
          <w:szCs w:val="24"/>
        </w:rPr>
      </w:pPr>
      <w:r w:rsidRPr="006C433A">
        <w:rPr>
          <w:color w:val="222222" w:themeColor="text1"/>
          <w:sz w:val="22"/>
          <w:szCs w:val="24"/>
        </w:rPr>
        <w:t>Beschrijving van</w:t>
      </w:r>
      <w:r w:rsidR="00FF46F7">
        <w:rPr>
          <w:color w:val="222222" w:themeColor="text1"/>
          <w:sz w:val="22"/>
          <w:szCs w:val="24"/>
        </w:rPr>
        <w:t xml:space="preserve"> de</w:t>
      </w:r>
      <w:r w:rsidRPr="006C433A">
        <w:rPr>
          <w:color w:val="222222" w:themeColor="text1"/>
          <w:sz w:val="22"/>
          <w:szCs w:val="24"/>
        </w:rPr>
        <w:t xml:space="preserve"> </w:t>
      </w:r>
      <w:r w:rsidR="00FF46F7">
        <w:rPr>
          <w:color w:val="222222" w:themeColor="text1"/>
          <w:sz w:val="22"/>
          <w:szCs w:val="24"/>
        </w:rPr>
        <w:t>belangrijkste</w:t>
      </w:r>
      <w:r w:rsidR="006C433A">
        <w:rPr>
          <w:color w:val="222222" w:themeColor="text1"/>
          <w:sz w:val="22"/>
          <w:szCs w:val="24"/>
        </w:rPr>
        <w:t xml:space="preserve"> ongunstige effecten</w:t>
      </w:r>
      <w:r w:rsidRPr="006C433A">
        <w:rPr>
          <w:color w:val="222222" w:themeColor="text1"/>
          <w:sz w:val="22"/>
          <w:szCs w:val="24"/>
        </w:rPr>
        <w:t xml:space="preserve"> op duurzaamheid</w:t>
      </w:r>
    </w:p>
    <w:p w:rsidR="006A1E0F" w:rsidRPr="006C433A" w:rsidRDefault="004F2408" w:rsidP="00FD7307">
      <w:pPr>
        <w:pStyle w:val="ListParagraph"/>
        <w:numPr>
          <w:ilvl w:val="0"/>
          <w:numId w:val="26"/>
        </w:numPr>
        <w:rPr>
          <w:color w:val="222222" w:themeColor="text1"/>
          <w:sz w:val="22"/>
          <w:szCs w:val="24"/>
        </w:rPr>
      </w:pPr>
      <w:r w:rsidRPr="006C433A">
        <w:rPr>
          <w:color w:val="222222" w:themeColor="text1"/>
          <w:sz w:val="22"/>
          <w:szCs w:val="24"/>
        </w:rPr>
        <w:t xml:space="preserve">Beschrijving van beleid </w:t>
      </w:r>
      <w:r w:rsidR="00A839B0" w:rsidRPr="006C433A">
        <w:rPr>
          <w:color w:val="222222" w:themeColor="text1"/>
          <w:sz w:val="22"/>
          <w:szCs w:val="24"/>
        </w:rPr>
        <w:t xml:space="preserve">bij het </w:t>
      </w:r>
      <w:r w:rsidR="00E008A6" w:rsidRPr="006C433A">
        <w:rPr>
          <w:color w:val="222222" w:themeColor="text1"/>
          <w:sz w:val="22"/>
          <w:szCs w:val="24"/>
        </w:rPr>
        <w:t>vaststellen</w:t>
      </w:r>
      <w:r w:rsidR="00A839B0" w:rsidRPr="006C433A">
        <w:rPr>
          <w:color w:val="222222" w:themeColor="text1"/>
          <w:sz w:val="22"/>
          <w:szCs w:val="24"/>
        </w:rPr>
        <w:t xml:space="preserve"> en prioriteren van de </w:t>
      </w:r>
      <w:r w:rsidR="00FF46F7">
        <w:rPr>
          <w:color w:val="222222" w:themeColor="text1"/>
          <w:sz w:val="22"/>
          <w:szCs w:val="24"/>
        </w:rPr>
        <w:t>belangrijkste</w:t>
      </w:r>
      <w:r w:rsidR="006C433A">
        <w:rPr>
          <w:color w:val="222222" w:themeColor="text1"/>
          <w:sz w:val="22"/>
          <w:szCs w:val="24"/>
        </w:rPr>
        <w:t xml:space="preserve"> ongunstige effecten</w:t>
      </w:r>
      <w:r w:rsidR="00A839B0" w:rsidRPr="006C433A">
        <w:rPr>
          <w:color w:val="222222" w:themeColor="text1"/>
          <w:sz w:val="22"/>
          <w:szCs w:val="24"/>
        </w:rPr>
        <w:t xml:space="preserve"> op duurzaamheid</w:t>
      </w:r>
    </w:p>
    <w:p w:rsidR="006A1E0F" w:rsidRPr="006C433A" w:rsidRDefault="00FF46F7" w:rsidP="00FD7307">
      <w:pPr>
        <w:pStyle w:val="ListParagraph"/>
        <w:numPr>
          <w:ilvl w:val="0"/>
          <w:numId w:val="26"/>
        </w:numPr>
        <w:rPr>
          <w:color w:val="222222" w:themeColor="text1"/>
          <w:sz w:val="22"/>
          <w:szCs w:val="24"/>
        </w:rPr>
      </w:pPr>
      <w:r>
        <w:rPr>
          <w:color w:val="222222" w:themeColor="text1"/>
          <w:sz w:val="22"/>
          <w:szCs w:val="24"/>
        </w:rPr>
        <w:t>Betrokkenheids</w:t>
      </w:r>
      <w:r w:rsidR="00A839B0" w:rsidRPr="006C433A">
        <w:rPr>
          <w:color w:val="222222" w:themeColor="text1"/>
          <w:sz w:val="22"/>
          <w:szCs w:val="24"/>
        </w:rPr>
        <w:t>beleid</w:t>
      </w:r>
    </w:p>
    <w:p w:rsidR="006A1E0F" w:rsidRPr="006C433A" w:rsidRDefault="00E008A6" w:rsidP="00FD7307">
      <w:pPr>
        <w:pStyle w:val="ListParagraph"/>
        <w:numPr>
          <w:ilvl w:val="0"/>
          <w:numId w:val="26"/>
        </w:numPr>
        <w:rPr>
          <w:color w:val="222222" w:themeColor="text1"/>
          <w:sz w:val="22"/>
          <w:szCs w:val="24"/>
        </w:rPr>
      </w:pPr>
      <w:r w:rsidRPr="006C433A">
        <w:rPr>
          <w:color w:val="222222" w:themeColor="text1"/>
          <w:sz w:val="22"/>
          <w:szCs w:val="24"/>
        </w:rPr>
        <w:t>Verwijzingen naar internationale standaarden</w:t>
      </w:r>
    </w:p>
    <w:p w:rsidR="006A1E0F" w:rsidRPr="006C433A" w:rsidRDefault="006A1E0F" w:rsidP="006A1E0F"/>
    <w:p w:rsidR="006A1E0F" w:rsidRPr="006C433A" w:rsidRDefault="006A1E0F" w:rsidP="006A1E0F"/>
    <w:p w:rsidR="006A1E0F" w:rsidRPr="006C433A" w:rsidRDefault="00E008A6" w:rsidP="00F80647">
      <w:pPr>
        <w:pStyle w:val="Heading2"/>
      </w:pPr>
      <w:r w:rsidRPr="006C433A">
        <w:lastRenderedPageBreak/>
        <w:t>BESCHRIJVING VAN</w:t>
      </w:r>
      <w:r w:rsidR="00FF46F7">
        <w:t xml:space="preserve"> de</w:t>
      </w:r>
      <w:r w:rsidRPr="006C433A">
        <w:t xml:space="preserve"> </w:t>
      </w:r>
      <w:r w:rsidR="00FF46F7">
        <w:t>Belangrijkste</w:t>
      </w:r>
      <w:r w:rsidR="006C433A">
        <w:t xml:space="preserve"> ONGUNSTIGE EFFECTEN</w:t>
      </w:r>
      <w:r w:rsidRPr="006C433A">
        <w:t xml:space="preserve"> OP DUURZAAMHEID</w:t>
      </w:r>
    </w:p>
    <w:p w:rsidR="006A1E0F" w:rsidRPr="006C433A" w:rsidRDefault="00873143" w:rsidP="00596900">
      <w:pPr>
        <w:spacing w:line="240" w:lineRule="auto"/>
        <w:rPr>
          <w:color w:val="auto"/>
          <w:sz w:val="22"/>
          <w:szCs w:val="22"/>
        </w:rPr>
      </w:pPr>
      <w:r w:rsidRPr="006C433A">
        <w:rPr>
          <w:color w:val="auto"/>
          <w:sz w:val="22"/>
          <w:szCs w:val="22"/>
        </w:rPr>
        <w:t xml:space="preserve">Quintet </w:t>
      </w:r>
      <w:r w:rsidR="00E008A6" w:rsidRPr="006C433A">
        <w:rPr>
          <w:color w:val="auto"/>
          <w:sz w:val="22"/>
          <w:szCs w:val="22"/>
        </w:rPr>
        <w:t>kent een lange traditie op het gebied van verantwoord en duurzaam beleggen en het afwegen van een breed scala aan duurzaamheidsaspecten in onze beleggingsbeslissingen. Het verkleinen van de negatieve effecten van onze belegging</w:t>
      </w:r>
      <w:r w:rsidR="00FF46F7">
        <w:rPr>
          <w:color w:val="auto"/>
          <w:sz w:val="22"/>
          <w:szCs w:val="22"/>
        </w:rPr>
        <w:t>sbeslissingen</w:t>
      </w:r>
      <w:r w:rsidR="00E008A6" w:rsidRPr="006C433A">
        <w:rPr>
          <w:color w:val="auto"/>
          <w:sz w:val="22"/>
          <w:szCs w:val="22"/>
        </w:rPr>
        <w:t xml:space="preserve"> maakt daarvan een groot deel uit.</w:t>
      </w:r>
      <w:r w:rsidRPr="006C433A">
        <w:rPr>
          <w:color w:val="auto"/>
          <w:sz w:val="22"/>
          <w:szCs w:val="22"/>
        </w:rPr>
        <w:t xml:space="preserve"> </w:t>
      </w:r>
      <w:r w:rsidR="00585A1E" w:rsidRPr="006C433A">
        <w:rPr>
          <w:color w:val="auto"/>
          <w:sz w:val="22"/>
          <w:szCs w:val="22"/>
        </w:rPr>
        <w:t>Gezien de grote variëteit aan financiële producten die we aanbieden om aan de verschillende behoeften van onze cliënten te voldoen, is er ook verschil in de manier waarop duurzaamheidsoverwegingen in onze financiële producten tot uiting komen. Dit geldt</w:t>
      </w:r>
      <w:r w:rsidR="006C433A">
        <w:rPr>
          <w:color w:val="auto"/>
          <w:sz w:val="22"/>
          <w:szCs w:val="22"/>
        </w:rPr>
        <w:t xml:space="preserve"> </w:t>
      </w:r>
      <w:r w:rsidR="00585A1E" w:rsidRPr="006C433A">
        <w:rPr>
          <w:color w:val="auto"/>
          <w:sz w:val="22"/>
          <w:szCs w:val="22"/>
        </w:rPr>
        <w:t xml:space="preserve">ook voor de negatieve effecten van onze beleggingsbeslissingen – de keuze aan </w:t>
      </w:r>
      <w:proofErr w:type="spellStart"/>
      <w:r w:rsidR="00585A1E" w:rsidRPr="006C433A">
        <w:rPr>
          <w:color w:val="auto"/>
          <w:sz w:val="22"/>
          <w:szCs w:val="22"/>
        </w:rPr>
        <w:t>PAI’s</w:t>
      </w:r>
      <w:proofErr w:type="spellEnd"/>
      <w:r w:rsidR="00585A1E" w:rsidRPr="006C433A">
        <w:rPr>
          <w:color w:val="auto"/>
          <w:sz w:val="22"/>
          <w:szCs w:val="22"/>
        </w:rPr>
        <w:t xml:space="preserve"> die in aanmerking word</w:t>
      </w:r>
      <w:r w:rsidR="008979D0">
        <w:rPr>
          <w:color w:val="auto"/>
          <w:sz w:val="22"/>
          <w:szCs w:val="22"/>
        </w:rPr>
        <w:t>en</w:t>
      </w:r>
      <w:r w:rsidR="00585A1E" w:rsidRPr="006C433A">
        <w:rPr>
          <w:color w:val="auto"/>
          <w:sz w:val="22"/>
          <w:szCs w:val="22"/>
        </w:rPr>
        <w:t xml:space="preserve"> genomen en de mate waarin en de wijze waarop deze (kunnen) worden afgewogen, hang</w:t>
      </w:r>
      <w:r w:rsidR="008979D0">
        <w:rPr>
          <w:color w:val="auto"/>
          <w:sz w:val="22"/>
          <w:szCs w:val="22"/>
        </w:rPr>
        <w:t>en</w:t>
      </w:r>
      <w:r w:rsidR="00585A1E" w:rsidRPr="006C433A">
        <w:rPr>
          <w:color w:val="auto"/>
          <w:sz w:val="22"/>
          <w:szCs w:val="22"/>
        </w:rPr>
        <w:t xml:space="preserve"> af van het type financieel product. Bij onze financiële producten die een expliciet beleggingsdoel hebben, wordt structureel rekening gehouden met een groot aantal </w:t>
      </w:r>
      <w:proofErr w:type="spellStart"/>
      <w:r w:rsidR="00585A1E" w:rsidRPr="006C433A">
        <w:rPr>
          <w:color w:val="auto"/>
          <w:sz w:val="22"/>
          <w:szCs w:val="22"/>
        </w:rPr>
        <w:t>PAI’s</w:t>
      </w:r>
      <w:proofErr w:type="spellEnd"/>
      <w:r w:rsidR="00585A1E" w:rsidRPr="006C433A">
        <w:rPr>
          <w:color w:val="auto"/>
          <w:sz w:val="22"/>
          <w:szCs w:val="22"/>
        </w:rPr>
        <w:t xml:space="preserve">. Bij financiële producten waarvoor expliciete regels gelden met betrekking tot milieu- of sociale kenmerken, hangt het van de specifieke aard en benadering van het financiële product af of de </w:t>
      </w:r>
      <w:proofErr w:type="spellStart"/>
      <w:r w:rsidR="00585A1E" w:rsidRPr="006C433A">
        <w:rPr>
          <w:color w:val="auto"/>
          <w:sz w:val="22"/>
          <w:szCs w:val="22"/>
        </w:rPr>
        <w:t>PAI’s</w:t>
      </w:r>
      <w:proofErr w:type="spellEnd"/>
      <w:r w:rsidR="00585A1E" w:rsidRPr="006C433A">
        <w:rPr>
          <w:color w:val="auto"/>
          <w:sz w:val="22"/>
          <w:szCs w:val="22"/>
        </w:rPr>
        <w:t xml:space="preserve"> worden meegewogen, en zo ja</w:t>
      </w:r>
      <w:r w:rsidR="008979D0">
        <w:rPr>
          <w:color w:val="auto"/>
          <w:sz w:val="22"/>
          <w:szCs w:val="22"/>
        </w:rPr>
        <w:t>,</w:t>
      </w:r>
      <w:r w:rsidR="00585A1E" w:rsidRPr="006C433A">
        <w:rPr>
          <w:color w:val="auto"/>
          <w:sz w:val="22"/>
          <w:szCs w:val="22"/>
        </w:rPr>
        <w:t xml:space="preserve"> hoe. Maar waar mogelijk en haalbaar hanteren we altijd minimumwaarborgen afgestemd op de aard en beleggingsbenadering van het financiële product. </w:t>
      </w:r>
      <w:r w:rsidR="00B97BCE" w:rsidRPr="006C433A">
        <w:rPr>
          <w:color w:val="auto"/>
          <w:sz w:val="22"/>
          <w:szCs w:val="22"/>
        </w:rPr>
        <w:t xml:space="preserve"> </w:t>
      </w:r>
    </w:p>
    <w:p w:rsidR="00984C26" w:rsidRPr="006C433A" w:rsidRDefault="00984C26" w:rsidP="00596900">
      <w:pPr>
        <w:spacing w:line="240" w:lineRule="auto"/>
        <w:rPr>
          <w:color w:val="auto"/>
          <w:sz w:val="22"/>
          <w:szCs w:val="22"/>
        </w:rPr>
      </w:pPr>
    </w:p>
    <w:p w:rsidR="006A1E0F" w:rsidRPr="006C433A" w:rsidRDefault="00B64112" w:rsidP="00B97BCE">
      <w:pPr>
        <w:spacing w:line="240" w:lineRule="auto"/>
      </w:pPr>
      <w:r w:rsidRPr="006C433A">
        <w:rPr>
          <w:color w:val="auto"/>
          <w:sz w:val="22"/>
          <w:szCs w:val="22"/>
        </w:rPr>
        <w:t xml:space="preserve">Hoewel nog niet duidelijk is welke </w:t>
      </w:r>
      <w:proofErr w:type="spellStart"/>
      <w:r w:rsidRPr="006C433A">
        <w:rPr>
          <w:color w:val="auto"/>
          <w:sz w:val="22"/>
          <w:szCs w:val="22"/>
        </w:rPr>
        <w:t>PAI’s</w:t>
      </w:r>
      <w:proofErr w:type="spellEnd"/>
      <w:r w:rsidRPr="006C433A">
        <w:rPr>
          <w:color w:val="auto"/>
          <w:sz w:val="22"/>
          <w:szCs w:val="22"/>
        </w:rPr>
        <w:t xml:space="preserve"> verplicht gemeld moeten worden op entiteitsniveau, hebben we in de tabel hieronder een overzicht opgenomen van de </w:t>
      </w:r>
      <w:proofErr w:type="spellStart"/>
      <w:r w:rsidRPr="006C433A">
        <w:rPr>
          <w:color w:val="auto"/>
          <w:sz w:val="22"/>
          <w:szCs w:val="22"/>
        </w:rPr>
        <w:t>PAI’s</w:t>
      </w:r>
      <w:proofErr w:type="spellEnd"/>
      <w:r w:rsidRPr="006C433A">
        <w:rPr>
          <w:color w:val="auto"/>
          <w:sz w:val="22"/>
          <w:szCs w:val="22"/>
        </w:rPr>
        <w:t xml:space="preserve"> die al deel uitmaken van ons </w:t>
      </w:r>
      <w:r w:rsidR="00423D7F">
        <w:rPr>
          <w:color w:val="auto"/>
          <w:sz w:val="22"/>
          <w:szCs w:val="22"/>
        </w:rPr>
        <w:t>Beleid Duurzaam Beleggen</w:t>
      </w:r>
      <w:r w:rsidRPr="006C433A">
        <w:rPr>
          <w:color w:val="auto"/>
          <w:sz w:val="22"/>
          <w:szCs w:val="22"/>
        </w:rPr>
        <w:t>, en op dit moment door de Europese regelgever als verplicht zijn aangemerkt. De tabel geeft een korte beschrijving van wat deze inhouden en hoe wij daar nu rekening mee houden.</w:t>
      </w:r>
      <w:r w:rsidR="006A1E0F" w:rsidRPr="006C433A">
        <w:rPr>
          <w:color w:val="auto"/>
          <w:sz w:val="22"/>
          <w:szCs w:val="22"/>
        </w:rPr>
        <w:t xml:space="preserve"> </w:t>
      </w:r>
    </w:p>
    <w:p w:rsidR="006A1E0F" w:rsidRPr="006C433A" w:rsidRDefault="006A1E0F" w:rsidP="006A1E0F"/>
    <w:tbl>
      <w:tblPr>
        <w:tblStyle w:val="TableGrid"/>
        <w:tblW w:w="0" w:type="auto"/>
        <w:tblLook w:val="04A0" w:firstRow="1" w:lastRow="0" w:firstColumn="1" w:lastColumn="0" w:noHBand="0" w:noVBand="1"/>
      </w:tblPr>
      <w:tblGrid>
        <w:gridCol w:w="2689"/>
        <w:gridCol w:w="4961"/>
        <w:gridCol w:w="2410"/>
      </w:tblGrid>
      <w:tr w:rsidR="006A1E0F" w:rsidRPr="006C433A" w:rsidTr="00EB263C">
        <w:tc>
          <w:tcPr>
            <w:tcW w:w="2689" w:type="dxa"/>
          </w:tcPr>
          <w:p w:rsidR="006A1E0F" w:rsidRPr="006C433A" w:rsidRDefault="007127E7" w:rsidP="00FD7307">
            <w:pPr>
              <w:spacing w:line="240" w:lineRule="auto"/>
              <w:rPr>
                <w:b/>
                <w:bCs/>
                <w:color w:val="auto"/>
                <w:sz w:val="22"/>
                <w:szCs w:val="22"/>
              </w:rPr>
            </w:pPr>
            <w:r w:rsidRPr="006C433A">
              <w:rPr>
                <w:b/>
                <w:bCs/>
                <w:color w:val="auto"/>
                <w:sz w:val="22"/>
                <w:szCs w:val="22"/>
              </w:rPr>
              <w:t>Duurzaamheidsindicator</w:t>
            </w:r>
          </w:p>
        </w:tc>
        <w:tc>
          <w:tcPr>
            <w:tcW w:w="4961" w:type="dxa"/>
          </w:tcPr>
          <w:p w:rsidR="006A1E0F" w:rsidRPr="006C433A" w:rsidRDefault="001E09E9" w:rsidP="00A608BD">
            <w:pPr>
              <w:spacing w:line="240" w:lineRule="auto"/>
              <w:jc w:val="center"/>
              <w:rPr>
                <w:b/>
                <w:bCs/>
                <w:color w:val="auto"/>
                <w:sz w:val="22"/>
                <w:szCs w:val="22"/>
              </w:rPr>
            </w:pPr>
            <w:r w:rsidRPr="006C433A">
              <w:rPr>
                <w:b/>
                <w:bCs/>
                <w:color w:val="auto"/>
                <w:sz w:val="22"/>
                <w:szCs w:val="22"/>
              </w:rPr>
              <w:t xml:space="preserve">Berekening </w:t>
            </w:r>
          </w:p>
        </w:tc>
        <w:tc>
          <w:tcPr>
            <w:tcW w:w="2410" w:type="dxa"/>
          </w:tcPr>
          <w:p w:rsidR="006A1E0F" w:rsidRPr="006C433A" w:rsidRDefault="006A1E0F" w:rsidP="00FD7307">
            <w:pPr>
              <w:spacing w:line="240" w:lineRule="auto"/>
              <w:rPr>
                <w:b/>
                <w:bCs/>
                <w:color w:val="auto"/>
                <w:sz w:val="22"/>
                <w:szCs w:val="22"/>
              </w:rPr>
            </w:pPr>
            <w:r w:rsidRPr="006C433A">
              <w:rPr>
                <w:b/>
                <w:bCs/>
                <w:color w:val="auto"/>
                <w:sz w:val="22"/>
                <w:szCs w:val="22"/>
              </w:rPr>
              <w:t>Informati</w:t>
            </w:r>
            <w:r w:rsidR="007127E7" w:rsidRPr="006C433A">
              <w:rPr>
                <w:b/>
                <w:bCs/>
                <w:color w:val="auto"/>
                <w:sz w:val="22"/>
                <w:szCs w:val="22"/>
              </w:rPr>
              <w:t xml:space="preserve">e over primaire methodes om </w:t>
            </w:r>
            <w:proofErr w:type="spellStart"/>
            <w:r w:rsidR="007127E7" w:rsidRPr="006C433A">
              <w:rPr>
                <w:b/>
                <w:bCs/>
                <w:color w:val="auto"/>
                <w:sz w:val="22"/>
                <w:szCs w:val="22"/>
              </w:rPr>
              <w:t>PAI</w:t>
            </w:r>
            <w:r w:rsidR="009C4D21">
              <w:rPr>
                <w:b/>
                <w:bCs/>
                <w:color w:val="auto"/>
                <w:sz w:val="22"/>
                <w:szCs w:val="22"/>
              </w:rPr>
              <w:t>’s</w:t>
            </w:r>
            <w:proofErr w:type="spellEnd"/>
            <w:r w:rsidR="007127E7" w:rsidRPr="006C433A">
              <w:rPr>
                <w:b/>
                <w:bCs/>
                <w:color w:val="auto"/>
                <w:sz w:val="22"/>
                <w:szCs w:val="22"/>
              </w:rPr>
              <w:t xml:space="preserve"> mee te wegen</w:t>
            </w:r>
          </w:p>
        </w:tc>
      </w:tr>
      <w:tr w:rsidR="006A1E0F" w:rsidRPr="006C433A" w:rsidTr="00EB263C">
        <w:tc>
          <w:tcPr>
            <w:tcW w:w="2689" w:type="dxa"/>
          </w:tcPr>
          <w:p w:rsidR="006A1E0F" w:rsidRPr="006C433A" w:rsidRDefault="006B15AA" w:rsidP="00FD7307">
            <w:pPr>
              <w:spacing w:line="240" w:lineRule="auto"/>
              <w:rPr>
                <w:color w:val="auto"/>
                <w:sz w:val="22"/>
                <w:szCs w:val="22"/>
              </w:rPr>
            </w:pPr>
            <w:r w:rsidRPr="006C433A">
              <w:rPr>
                <w:color w:val="auto"/>
                <w:sz w:val="22"/>
                <w:szCs w:val="22"/>
              </w:rPr>
              <w:t>U</w:t>
            </w:r>
            <w:r w:rsidR="007127E7" w:rsidRPr="006C433A">
              <w:rPr>
                <w:color w:val="auto"/>
                <w:sz w:val="22"/>
                <w:szCs w:val="22"/>
              </w:rPr>
              <w:t>itstoot</w:t>
            </w:r>
            <w:r w:rsidRPr="006C433A">
              <w:rPr>
                <w:color w:val="auto"/>
                <w:sz w:val="22"/>
                <w:szCs w:val="22"/>
              </w:rPr>
              <w:t xml:space="preserve"> broeikasgassen</w:t>
            </w:r>
          </w:p>
        </w:tc>
        <w:tc>
          <w:tcPr>
            <w:tcW w:w="4961" w:type="dxa"/>
          </w:tcPr>
          <w:p w:rsidR="006A1E0F" w:rsidRPr="006C433A" w:rsidRDefault="006A1E0F" w:rsidP="00FD7307">
            <w:pPr>
              <w:spacing w:line="240" w:lineRule="auto"/>
              <w:rPr>
                <w:color w:val="auto"/>
                <w:sz w:val="22"/>
                <w:szCs w:val="22"/>
              </w:rPr>
            </w:pPr>
            <w:r w:rsidRPr="006C433A">
              <w:rPr>
                <w:color w:val="auto"/>
                <w:sz w:val="22"/>
                <w:szCs w:val="22"/>
              </w:rPr>
              <w:t xml:space="preserve">Scope 1 </w:t>
            </w:r>
            <w:r w:rsidR="004D4977" w:rsidRPr="006C433A">
              <w:rPr>
                <w:color w:val="auto"/>
                <w:sz w:val="22"/>
                <w:szCs w:val="22"/>
              </w:rPr>
              <w:t xml:space="preserve">uitstoot, </w:t>
            </w:r>
            <w:r w:rsidRPr="006C433A">
              <w:rPr>
                <w:color w:val="auto"/>
                <w:sz w:val="22"/>
                <w:szCs w:val="22"/>
              </w:rPr>
              <w:t xml:space="preserve">Scope 2 </w:t>
            </w:r>
            <w:r w:rsidR="004D4977" w:rsidRPr="006C433A">
              <w:rPr>
                <w:color w:val="auto"/>
                <w:sz w:val="22"/>
                <w:szCs w:val="22"/>
              </w:rPr>
              <w:t>uitstoot</w:t>
            </w:r>
            <w:r w:rsidRPr="006C433A">
              <w:rPr>
                <w:color w:val="auto"/>
                <w:sz w:val="22"/>
                <w:szCs w:val="22"/>
              </w:rPr>
              <w:t xml:space="preserve">, </w:t>
            </w:r>
            <w:r w:rsidR="004D4977" w:rsidRPr="006C433A">
              <w:rPr>
                <w:color w:val="auto"/>
                <w:sz w:val="22"/>
                <w:szCs w:val="22"/>
              </w:rPr>
              <w:t>totale</w:t>
            </w:r>
            <w:r w:rsidRPr="006C433A">
              <w:rPr>
                <w:color w:val="auto"/>
                <w:sz w:val="22"/>
                <w:szCs w:val="22"/>
              </w:rPr>
              <w:t xml:space="preserve"> </w:t>
            </w:r>
            <w:r w:rsidR="004D4977" w:rsidRPr="006C433A">
              <w:rPr>
                <w:color w:val="auto"/>
                <w:sz w:val="22"/>
                <w:szCs w:val="22"/>
              </w:rPr>
              <w:t>uitstoot</w:t>
            </w:r>
            <w:r w:rsidRPr="006C433A">
              <w:rPr>
                <w:color w:val="auto"/>
                <w:sz w:val="22"/>
                <w:szCs w:val="22"/>
              </w:rPr>
              <w:t xml:space="preserve">. Scope 3 </w:t>
            </w:r>
            <w:r w:rsidR="004D4977" w:rsidRPr="006C433A">
              <w:rPr>
                <w:color w:val="auto"/>
                <w:sz w:val="22"/>
                <w:szCs w:val="22"/>
              </w:rPr>
              <w:t xml:space="preserve">uitstoot </w:t>
            </w:r>
            <w:r w:rsidR="009C4D21">
              <w:rPr>
                <w:color w:val="auto"/>
                <w:sz w:val="22"/>
                <w:szCs w:val="22"/>
              </w:rPr>
              <w:t>wor</w:t>
            </w:r>
            <w:r w:rsidR="004D4977" w:rsidRPr="006C433A">
              <w:rPr>
                <w:color w:val="auto"/>
                <w:sz w:val="22"/>
                <w:szCs w:val="22"/>
              </w:rPr>
              <w:t xml:space="preserve">dt met ingang van 2023 </w:t>
            </w:r>
            <w:r w:rsidR="009C4D21">
              <w:rPr>
                <w:color w:val="auto"/>
                <w:sz w:val="22"/>
                <w:szCs w:val="22"/>
              </w:rPr>
              <w:t>in aanmerking genomen</w:t>
            </w:r>
            <w:r w:rsidR="004D4977" w:rsidRPr="006C433A">
              <w:rPr>
                <w:color w:val="auto"/>
                <w:sz w:val="22"/>
                <w:szCs w:val="22"/>
              </w:rPr>
              <w:t xml:space="preserve">, en </w:t>
            </w:r>
            <w:r w:rsidR="00423D7F">
              <w:rPr>
                <w:color w:val="auto"/>
                <w:sz w:val="22"/>
                <w:szCs w:val="22"/>
              </w:rPr>
              <w:t xml:space="preserve">zal </w:t>
            </w:r>
            <w:r w:rsidR="004D4977" w:rsidRPr="006C433A">
              <w:rPr>
                <w:color w:val="auto"/>
                <w:sz w:val="22"/>
                <w:szCs w:val="22"/>
              </w:rPr>
              <w:t xml:space="preserve">voor het eerst </w:t>
            </w:r>
            <w:r w:rsidR="00E743C3" w:rsidRPr="006C433A">
              <w:rPr>
                <w:color w:val="auto"/>
                <w:sz w:val="22"/>
                <w:szCs w:val="22"/>
              </w:rPr>
              <w:t xml:space="preserve">in 2024 </w:t>
            </w:r>
            <w:r w:rsidR="00423D7F">
              <w:rPr>
                <w:color w:val="auto"/>
                <w:sz w:val="22"/>
                <w:szCs w:val="22"/>
              </w:rPr>
              <w:t xml:space="preserve">worden </w:t>
            </w:r>
            <w:r w:rsidR="00E743C3" w:rsidRPr="006C433A">
              <w:rPr>
                <w:color w:val="auto"/>
                <w:sz w:val="22"/>
                <w:szCs w:val="22"/>
              </w:rPr>
              <w:t>gerapporteerd.</w:t>
            </w:r>
            <w:r w:rsidRPr="006C433A">
              <w:rPr>
                <w:color w:val="auto"/>
                <w:sz w:val="22"/>
                <w:szCs w:val="22"/>
              </w:rPr>
              <w:t xml:space="preserve"> </w:t>
            </w:r>
            <w:r w:rsidR="006B15AA" w:rsidRPr="006C433A">
              <w:rPr>
                <w:color w:val="auto"/>
                <w:sz w:val="22"/>
                <w:szCs w:val="22"/>
              </w:rPr>
              <w:t>Verschillende broeikasgassen worden meegewogen en uitgedrukt in tonnen CO2.</w:t>
            </w:r>
            <w:r w:rsidRPr="006C433A">
              <w:rPr>
                <w:color w:val="auto"/>
                <w:sz w:val="22"/>
                <w:szCs w:val="22"/>
              </w:rPr>
              <w:t xml:space="preserve"> </w:t>
            </w:r>
          </w:p>
        </w:tc>
        <w:tc>
          <w:tcPr>
            <w:tcW w:w="2410" w:type="dxa"/>
          </w:tcPr>
          <w:p w:rsidR="006A1E0F" w:rsidRPr="006C433A" w:rsidRDefault="00596900" w:rsidP="00FD7307">
            <w:pPr>
              <w:spacing w:line="240" w:lineRule="auto"/>
              <w:rPr>
                <w:color w:val="auto"/>
                <w:sz w:val="22"/>
                <w:szCs w:val="22"/>
              </w:rPr>
            </w:pPr>
            <w:r w:rsidRPr="006C433A">
              <w:rPr>
                <w:color w:val="auto"/>
                <w:sz w:val="22"/>
                <w:szCs w:val="22"/>
              </w:rPr>
              <w:t xml:space="preserve">Engagement, </w:t>
            </w:r>
            <w:r w:rsidR="005B2E92" w:rsidRPr="006C433A">
              <w:rPr>
                <w:color w:val="auto"/>
                <w:sz w:val="22"/>
                <w:szCs w:val="22"/>
              </w:rPr>
              <w:t>stemmen, uitsluitingen</w:t>
            </w:r>
            <w:r w:rsidR="006A1E0F" w:rsidRPr="006C433A">
              <w:rPr>
                <w:color w:val="auto"/>
                <w:sz w:val="22"/>
                <w:szCs w:val="22"/>
              </w:rPr>
              <w:t>.</w:t>
            </w:r>
          </w:p>
        </w:tc>
      </w:tr>
      <w:tr w:rsidR="006A1E0F" w:rsidRPr="006C433A" w:rsidTr="00EB263C">
        <w:tc>
          <w:tcPr>
            <w:tcW w:w="2689" w:type="dxa"/>
          </w:tcPr>
          <w:p w:rsidR="006A1E0F" w:rsidRPr="006C433A" w:rsidRDefault="006A1E0F" w:rsidP="00FD7307">
            <w:pPr>
              <w:spacing w:line="240" w:lineRule="auto"/>
              <w:rPr>
                <w:color w:val="auto"/>
                <w:sz w:val="22"/>
                <w:szCs w:val="22"/>
              </w:rPr>
            </w:pPr>
            <w:r w:rsidRPr="006C433A">
              <w:rPr>
                <w:color w:val="auto"/>
                <w:sz w:val="22"/>
                <w:szCs w:val="22"/>
              </w:rPr>
              <w:t>C</w:t>
            </w:r>
            <w:r w:rsidR="004D4977" w:rsidRPr="006C433A">
              <w:rPr>
                <w:color w:val="auto"/>
                <w:sz w:val="22"/>
                <w:szCs w:val="22"/>
              </w:rPr>
              <w:t>O-2 voetafdruk</w:t>
            </w:r>
          </w:p>
        </w:tc>
        <w:tc>
          <w:tcPr>
            <w:tcW w:w="4961" w:type="dxa"/>
          </w:tcPr>
          <w:p w:rsidR="006A1E0F" w:rsidRPr="006C433A" w:rsidRDefault="006A1E0F" w:rsidP="00FD7307">
            <w:pPr>
              <w:spacing w:line="240" w:lineRule="auto"/>
              <w:rPr>
                <w:color w:val="auto"/>
                <w:sz w:val="22"/>
                <w:szCs w:val="22"/>
              </w:rPr>
            </w:pPr>
            <w:r w:rsidRPr="006C433A">
              <w:rPr>
                <w:color w:val="auto"/>
                <w:sz w:val="22"/>
                <w:szCs w:val="22"/>
              </w:rPr>
              <w:t>C</w:t>
            </w:r>
            <w:r w:rsidR="00E743C3" w:rsidRPr="006C433A">
              <w:rPr>
                <w:color w:val="auto"/>
                <w:sz w:val="22"/>
                <w:szCs w:val="22"/>
              </w:rPr>
              <w:t xml:space="preserve">O-2 voetafdruk. Dit heeft betrekking op de CO-2 uitstoot </w:t>
            </w:r>
            <w:r w:rsidR="005B2E92" w:rsidRPr="006C433A">
              <w:rPr>
                <w:color w:val="auto"/>
                <w:sz w:val="22"/>
                <w:szCs w:val="22"/>
              </w:rPr>
              <w:t>van ondernemingen waarin wordt belegd (met betrekking tot de belegging door Quintet), gedeeld door de waarde van alle Quintet-beleggingen</w:t>
            </w:r>
            <w:r w:rsidRPr="006C433A">
              <w:rPr>
                <w:color w:val="auto"/>
                <w:sz w:val="22"/>
                <w:szCs w:val="22"/>
              </w:rPr>
              <w:t>.</w:t>
            </w:r>
          </w:p>
        </w:tc>
        <w:tc>
          <w:tcPr>
            <w:tcW w:w="2410" w:type="dxa"/>
          </w:tcPr>
          <w:p w:rsidR="006A1E0F" w:rsidRPr="006C433A" w:rsidRDefault="005B2E92" w:rsidP="00FD7307">
            <w:pPr>
              <w:spacing w:line="240" w:lineRule="auto"/>
              <w:rPr>
                <w:color w:val="auto"/>
                <w:sz w:val="22"/>
                <w:szCs w:val="22"/>
              </w:rPr>
            </w:pPr>
            <w:r w:rsidRPr="006C433A">
              <w:rPr>
                <w:color w:val="auto"/>
                <w:sz w:val="22"/>
                <w:szCs w:val="22"/>
              </w:rPr>
              <w:t>Engagement, stemmen, uitsluitingen</w:t>
            </w:r>
            <w:r w:rsidR="00596900" w:rsidRPr="006C433A">
              <w:rPr>
                <w:color w:val="auto"/>
                <w:sz w:val="22"/>
                <w:szCs w:val="22"/>
              </w:rPr>
              <w:t>.</w:t>
            </w:r>
          </w:p>
        </w:tc>
      </w:tr>
      <w:tr w:rsidR="006A1E0F" w:rsidRPr="006C433A" w:rsidTr="00EB263C">
        <w:tc>
          <w:tcPr>
            <w:tcW w:w="2689" w:type="dxa"/>
          </w:tcPr>
          <w:p w:rsidR="006A1E0F" w:rsidRPr="006C433A" w:rsidRDefault="006B15AA" w:rsidP="00FD7307">
            <w:pPr>
              <w:spacing w:line="240" w:lineRule="auto"/>
              <w:rPr>
                <w:color w:val="auto"/>
                <w:sz w:val="22"/>
                <w:szCs w:val="22"/>
              </w:rPr>
            </w:pPr>
            <w:r w:rsidRPr="006C433A">
              <w:rPr>
                <w:color w:val="auto"/>
                <w:sz w:val="22"/>
                <w:szCs w:val="22"/>
              </w:rPr>
              <w:t xml:space="preserve">Emissie-intensiteit broeikasgassen ondernemingen waarin wordt </w:t>
            </w:r>
            <w:r w:rsidR="006E567D" w:rsidRPr="006C433A">
              <w:rPr>
                <w:color w:val="auto"/>
                <w:sz w:val="22"/>
                <w:szCs w:val="22"/>
              </w:rPr>
              <w:t>belegd</w:t>
            </w:r>
          </w:p>
        </w:tc>
        <w:tc>
          <w:tcPr>
            <w:tcW w:w="4961" w:type="dxa"/>
          </w:tcPr>
          <w:p w:rsidR="006A1E0F" w:rsidRPr="006C433A" w:rsidRDefault="006B15AA" w:rsidP="00FD7307">
            <w:pPr>
              <w:spacing w:line="240" w:lineRule="auto"/>
              <w:rPr>
                <w:color w:val="auto"/>
                <w:sz w:val="22"/>
                <w:szCs w:val="22"/>
              </w:rPr>
            </w:pPr>
            <w:r w:rsidRPr="006C433A">
              <w:rPr>
                <w:color w:val="auto"/>
                <w:sz w:val="22"/>
                <w:szCs w:val="22"/>
              </w:rPr>
              <w:t xml:space="preserve">Emissie-intensiteit broeikasgassen van ondernemingen waarin wordt belegd. </w:t>
            </w:r>
            <w:r w:rsidR="006E567D" w:rsidRPr="006C433A">
              <w:rPr>
                <w:color w:val="auto"/>
                <w:sz w:val="22"/>
                <w:szCs w:val="22"/>
              </w:rPr>
              <w:t xml:space="preserve">Dit is de </w:t>
            </w:r>
            <w:r w:rsidR="009C4D21" w:rsidRPr="006C433A">
              <w:rPr>
                <w:color w:val="auto"/>
                <w:sz w:val="22"/>
                <w:szCs w:val="22"/>
              </w:rPr>
              <w:t>som</w:t>
            </w:r>
            <w:r w:rsidR="006E567D" w:rsidRPr="006C433A">
              <w:rPr>
                <w:color w:val="auto"/>
                <w:sz w:val="22"/>
                <w:szCs w:val="22"/>
              </w:rPr>
              <w:t xml:space="preserve"> van de uitstoot van broeikasgassen van ondernemingen, gedeeld door hun </w:t>
            </w:r>
            <w:r w:rsidR="00080311" w:rsidRPr="006C433A">
              <w:rPr>
                <w:color w:val="auto"/>
                <w:sz w:val="22"/>
                <w:szCs w:val="22"/>
              </w:rPr>
              <w:t>inkomsten, vermenigvuldigd met het percentage van deze beleggingen in verhouding tot alle Quintet-beleggingen.</w:t>
            </w:r>
          </w:p>
        </w:tc>
        <w:tc>
          <w:tcPr>
            <w:tcW w:w="2410" w:type="dxa"/>
          </w:tcPr>
          <w:p w:rsidR="006A1E0F" w:rsidRPr="006C433A" w:rsidRDefault="005B2E92" w:rsidP="00FD7307">
            <w:pPr>
              <w:spacing w:line="240" w:lineRule="auto"/>
              <w:rPr>
                <w:color w:val="auto"/>
                <w:sz w:val="22"/>
                <w:szCs w:val="22"/>
              </w:rPr>
            </w:pPr>
            <w:r w:rsidRPr="006C433A">
              <w:rPr>
                <w:color w:val="auto"/>
                <w:sz w:val="22"/>
                <w:szCs w:val="22"/>
              </w:rPr>
              <w:t>Engagement, stemmen, uitsluitingen.</w:t>
            </w:r>
          </w:p>
        </w:tc>
      </w:tr>
      <w:tr w:rsidR="006A1E0F" w:rsidRPr="006C433A" w:rsidTr="00EB263C">
        <w:tc>
          <w:tcPr>
            <w:tcW w:w="2689" w:type="dxa"/>
          </w:tcPr>
          <w:p w:rsidR="006A1E0F" w:rsidRPr="006C433A" w:rsidRDefault="00080311" w:rsidP="00FD7307">
            <w:pPr>
              <w:spacing w:line="240" w:lineRule="auto"/>
              <w:rPr>
                <w:color w:val="auto"/>
                <w:sz w:val="22"/>
                <w:szCs w:val="22"/>
              </w:rPr>
            </w:pPr>
            <w:r w:rsidRPr="006C433A">
              <w:rPr>
                <w:color w:val="auto"/>
                <w:sz w:val="22"/>
                <w:szCs w:val="22"/>
              </w:rPr>
              <w:t>Schendingen van de principes van</w:t>
            </w:r>
            <w:r w:rsidR="006A1E0F" w:rsidRPr="006C433A">
              <w:rPr>
                <w:color w:val="auto"/>
                <w:sz w:val="22"/>
                <w:szCs w:val="22"/>
              </w:rPr>
              <w:t xml:space="preserve"> UN Global Compact </w:t>
            </w:r>
            <w:r w:rsidRPr="006C433A">
              <w:rPr>
                <w:color w:val="auto"/>
                <w:sz w:val="22"/>
                <w:szCs w:val="22"/>
              </w:rPr>
              <w:t xml:space="preserve">en de richtlijnen voor multinationale ondernemingen van de Organisatie voor Economische </w:t>
            </w:r>
            <w:r w:rsidRPr="006C433A">
              <w:rPr>
                <w:color w:val="auto"/>
                <w:sz w:val="22"/>
                <w:szCs w:val="22"/>
              </w:rPr>
              <w:lastRenderedPageBreak/>
              <w:t xml:space="preserve">Samenwerking en Ontwikkeling (OESO) </w:t>
            </w:r>
            <w:r w:rsidR="006A1E0F" w:rsidRPr="006C433A">
              <w:rPr>
                <w:color w:val="auto"/>
                <w:sz w:val="22"/>
                <w:szCs w:val="22"/>
              </w:rPr>
              <w:t xml:space="preserve"> </w:t>
            </w:r>
          </w:p>
        </w:tc>
        <w:tc>
          <w:tcPr>
            <w:tcW w:w="4961" w:type="dxa"/>
          </w:tcPr>
          <w:p w:rsidR="006A1E0F" w:rsidRPr="006C433A" w:rsidRDefault="00534644" w:rsidP="00FD7307">
            <w:pPr>
              <w:spacing w:line="240" w:lineRule="auto"/>
              <w:rPr>
                <w:color w:val="auto"/>
                <w:sz w:val="22"/>
                <w:szCs w:val="22"/>
              </w:rPr>
            </w:pPr>
            <w:r w:rsidRPr="006C433A">
              <w:rPr>
                <w:color w:val="auto"/>
                <w:sz w:val="22"/>
                <w:szCs w:val="22"/>
              </w:rPr>
              <w:lastRenderedPageBreak/>
              <w:t>Aandeel van beleggingen in ondernemingen waarin wordt belegd die betrokken zijn geweest bij schendingen van de VN Global Compact-principes of de OESO-richtlijnen voor multinationale ondernemingen</w:t>
            </w:r>
            <w:r w:rsidR="006A1E0F" w:rsidRPr="006C433A">
              <w:rPr>
                <w:color w:val="auto"/>
                <w:sz w:val="22"/>
                <w:szCs w:val="22"/>
              </w:rPr>
              <w:t>.</w:t>
            </w:r>
          </w:p>
          <w:p w:rsidR="006A1E0F" w:rsidRPr="006C433A" w:rsidRDefault="006A1E0F" w:rsidP="00FD7307">
            <w:pPr>
              <w:spacing w:line="240" w:lineRule="auto"/>
              <w:rPr>
                <w:color w:val="auto"/>
                <w:sz w:val="22"/>
                <w:szCs w:val="22"/>
              </w:rPr>
            </w:pPr>
          </w:p>
        </w:tc>
        <w:tc>
          <w:tcPr>
            <w:tcW w:w="2410" w:type="dxa"/>
          </w:tcPr>
          <w:p w:rsidR="006A1E0F" w:rsidRPr="006C433A" w:rsidRDefault="005B2E92" w:rsidP="00FD7307">
            <w:pPr>
              <w:spacing w:line="240" w:lineRule="auto"/>
              <w:rPr>
                <w:color w:val="auto"/>
                <w:sz w:val="22"/>
                <w:szCs w:val="22"/>
              </w:rPr>
            </w:pPr>
            <w:r w:rsidRPr="006C433A">
              <w:rPr>
                <w:color w:val="auto"/>
                <w:sz w:val="22"/>
                <w:szCs w:val="22"/>
              </w:rPr>
              <w:t>uitsluitingen</w:t>
            </w:r>
            <w:r w:rsidR="006A1E0F" w:rsidRPr="006C433A">
              <w:rPr>
                <w:color w:val="auto"/>
                <w:sz w:val="22"/>
                <w:szCs w:val="22"/>
              </w:rPr>
              <w:t>, engagement.</w:t>
            </w:r>
          </w:p>
        </w:tc>
      </w:tr>
      <w:tr w:rsidR="006A1E0F" w:rsidRPr="006C433A" w:rsidTr="00EB263C">
        <w:tc>
          <w:tcPr>
            <w:tcW w:w="2689" w:type="dxa"/>
          </w:tcPr>
          <w:p w:rsidR="006A1E0F" w:rsidRPr="006C433A" w:rsidRDefault="00534644" w:rsidP="00FD7307">
            <w:pPr>
              <w:spacing w:line="240" w:lineRule="auto"/>
              <w:rPr>
                <w:color w:val="auto"/>
                <w:sz w:val="22"/>
                <w:szCs w:val="22"/>
              </w:rPr>
            </w:pPr>
            <w:r w:rsidRPr="006C433A">
              <w:rPr>
                <w:color w:val="auto"/>
                <w:sz w:val="22"/>
                <w:szCs w:val="22"/>
              </w:rPr>
              <w:t>Genderdiversiteit in het Bestuur</w:t>
            </w:r>
          </w:p>
        </w:tc>
        <w:tc>
          <w:tcPr>
            <w:tcW w:w="4961" w:type="dxa"/>
          </w:tcPr>
          <w:p w:rsidR="006A1E0F" w:rsidRPr="006C433A" w:rsidRDefault="00534644" w:rsidP="00FD7307">
            <w:pPr>
              <w:spacing w:line="240" w:lineRule="auto"/>
              <w:rPr>
                <w:color w:val="auto"/>
                <w:sz w:val="22"/>
                <w:szCs w:val="22"/>
              </w:rPr>
            </w:pPr>
            <w:r w:rsidRPr="006C433A">
              <w:rPr>
                <w:color w:val="auto"/>
                <w:sz w:val="22"/>
                <w:szCs w:val="22"/>
              </w:rPr>
              <w:t xml:space="preserve">Gemiddelde verhouding </w:t>
            </w:r>
            <w:r w:rsidR="009C4D21">
              <w:rPr>
                <w:color w:val="auto"/>
                <w:sz w:val="22"/>
                <w:szCs w:val="22"/>
              </w:rPr>
              <w:t xml:space="preserve">tussen </w:t>
            </w:r>
            <w:r w:rsidRPr="006C433A">
              <w:rPr>
                <w:color w:val="auto"/>
                <w:sz w:val="22"/>
                <w:szCs w:val="22"/>
              </w:rPr>
              <w:t xml:space="preserve">vrouwelijke </w:t>
            </w:r>
            <w:r w:rsidR="009C4D21">
              <w:rPr>
                <w:color w:val="auto"/>
                <w:sz w:val="22"/>
                <w:szCs w:val="22"/>
              </w:rPr>
              <w:t xml:space="preserve">en </w:t>
            </w:r>
            <w:r w:rsidRPr="006C433A">
              <w:rPr>
                <w:color w:val="auto"/>
                <w:sz w:val="22"/>
                <w:szCs w:val="22"/>
              </w:rPr>
              <w:t>mannelijke bestuur</w:t>
            </w:r>
            <w:r w:rsidR="009C4D21">
              <w:rPr>
                <w:color w:val="auto"/>
                <w:sz w:val="22"/>
                <w:szCs w:val="22"/>
              </w:rPr>
              <w:t>ders</w:t>
            </w:r>
            <w:r w:rsidRPr="006C433A">
              <w:rPr>
                <w:color w:val="auto"/>
                <w:sz w:val="22"/>
                <w:szCs w:val="22"/>
              </w:rPr>
              <w:t xml:space="preserve"> bij ondernemingen waarin wordt belegd</w:t>
            </w:r>
            <w:r w:rsidR="006A1E0F" w:rsidRPr="006C433A">
              <w:rPr>
                <w:color w:val="auto"/>
                <w:sz w:val="22"/>
                <w:szCs w:val="22"/>
              </w:rPr>
              <w:t>.</w:t>
            </w:r>
          </w:p>
        </w:tc>
        <w:tc>
          <w:tcPr>
            <w:tcW w:w="2410" w:type="dxa"/>
          </w:tcPr>
          <w:p w:rsidR="006A1E0F" w:rsidRPr="006C433A" w:rsidRDefault="005B2E92" w:rsidP="00FD7307">
            <w:pPr>
              <w:spacing w:line="240" w:lineRule="auto"/>
              <w:rPr>
                <w:color w:val="auto"/>
                <w:sz w:val="22"/>
                <w:szCs w:val="22"/>
              </w:rPr>
            </w:pPr>
            <w:r w:rsidRPr="006C433A">
              <w:rPr>
                <w:color w:val="auto"/>
                <w:sz w:val="22"/>
                <w:szCs w:val="22"/>
              </w:rPr>
              <w:t>stemmen</w:t>
            </w:r>
            <w:r w:rsidR="006A1E0F" w:rsidRPr="006C433A">
              <w:rPr>
                <w:color w:val="auto"/>
                <w:sz w:val="22"/>
                <w:szCs w:val="22"/>
              </w:rPr>
              <w:t xml:space="preserve">, engagement. </w:t>
            </w:r>
          </w:p>
        </w:tc>
      </w:tr>
      <w:tr w:rsidR="006A1E0F" w:rsidRPr="006C433A" w:rsidTr="00EB263C">
        <w:tc>
          <w:tcPr>
            <w:tcW w:w="2689" w:type="dxa"/>
          </w:tcPr>
          <w:p w:rsidR="006A1E0F" w:rsidRPr="006C433A" w:rsidRDefault="00534644" w:rsidP="00FD7307">
            <w:pPr>
              <w:spacing w:line="240" w:lineRule="auto"/>
              <w:rPr>
                <w:color w:val="auto"/>
                <w:sz w:val="22"/>
                <w:szCs w:val="22"/>
              </w:rPr>
            </w:pPr>
            <w:r w:rsidRPr="006C433A">
              <w:rPr>
                <w:color w:val="auto"/>
                <w:sz w:val="22"/>
                <w:szCs w:val="22"/>
              </w:rPr>
              <w:t>Blootstelling aan controversiële wapens (anti</w:t>
            </w:r>
            <w:r w:rsidR="00423D7F">
              <w:rPr>
                <w:color w:val="auto"/>
                <w:sz w:val="22"/>
                <w:szCs w:val="22"/>
              </w:rPr>
              <w:t>-</w:t>
            </w:r>
            <w:r w:rsidR="002E789E" w:rsidRPr="006C433A">
              <w:rPr>
                <w:color w:val="auto"/>
                <w:sz w:val="22"/>
                <w:szCs w:val="22"/>
              </w:rPr>
              <w:t>perso</w:t>
            </w:r>
            <w:r w:rsidR="00423D7F">
              <w:rPr>
                <w:color w:val="auto"/>
                <w:sz w:val="22"/>
                <w:szCs w:val="22"/>
              </w:rPr>
              <w:t xml:space="preserve">neel </w:t>
            </w:r>
            <w:r w:rsidR="002E789E" w:rsidRPr="006C433A">
              <w:rPr>
                <w:color w:val="auto"/>
                <w:sz w:val="22"/>
                <w:szCs w:val="22"/>
              </w:rPr>
              <w:t>mijnen, clustermunitie, chemische en biologische wapens</w:t>
            </w:r>
            <w:r w:rsidR="006A1E0F" w:rsidRPr="006C433A">
              <w:rPr>
                <w:color w:val="auto"/>
                <w:sz w:val="22"/>
                <w:szCs w:val="22"/>
              </w:rPr>
              <w:t>)</w:t>
            </w:r>
          </w:p>
        </w:tc>
        <w:tc>
          <w:tcPr>
            <w:tcW w:w="4961" w:type="dxa"/>
          </w:tcPr>
          <w:p w:rsidR="006A1E0F" w:rsidRPr="006C433A" w:rsidRDefault="00534644" w:rsidP="00FD7307">
            <w:pPr>
              <w:spacing w:line="240" w:lineRule="auto"/>
              <w:rPr>
                <w:color w:val="auto"/>
                <w:sz w:val="22"/>
                <w:szCs w:val="22"/>
              </w:rPr>
            </w:pPr>
            <w:r w:rsidRPr="006C433A">
              <w:rPr>
                <w:color w:val="auto"/>
                <w:sz w:val="22"/>
                <w:szCs w:val="22"/>
              </w:rPr>
              <w:t>Aandeel van beleggingen in ondernemingen waarin wordt belegd die betrokken zijn bij de productie of handel in controversiële wapens</w:t>
            </w:r>
            <w:r w:rsidR="006A1E0F" w:rsidRPr="006C433A">
              <w:rPr>
                <w:color w:val="auto"/>
                <w:sz w:val="22"/>
                <w:szCs w:val="22"/>
              </w:rPr>
              <w:t xml:space="preserve">. </w:t>
            </w:r>
          </w:p>
          <w:p w:rsidR="006A1E0F" w:rsidRPr="006C433A" w:rsidRDefault="006A1E0F" w:rsidP="00FD7307">
            <w:pPr>
              <w:spacing w:line="240" w:lineRule="auto"/>
              <w:rPr>
                <w:color w:val="auto"/>
                <w:sz w:val="22"/>
                <w:szCs w:val="22"/>
              </w:rPr>
            </w:pPr>
          </w:p>
        </w:tc>
        <w:tc>
          <w:tcPr>
            <w:tcW w:w="2410" w:type="dxa"/>
          </w:tcPr>
          <w:p w:rsidR="006A1E0F" w:rsidRPr="006C433A" w:rsidRDefault="005B2E92" w:rsidP="00FD7307">
            <w:pPr>
              <w:spacing w:line="240" w:lineRule="auto"/>
              <w:rPr>
                <w:color w:val="auto"/>
                <w:sz w:val="22"/>
                <w:szCs w:val="22"/>
              </w:rPr>
            </w:pPr>
            <w:r w:rsidRPr="006C433A">
              <w:rPr>
                <w:color w:val="auto"/>
                <w:sz w:val="22"/>
                <w:szCs w:val="22"/>
              </w:rPr>
              <w:t>uitsluitingen</w:t>
            </w:r>
            <w:r w:rsidR="006A1E0F" w:rsidRPr="006C433A">
              <w:rPr>
                <w:color w:val="auto"/>
                <w:sz w:val="22"/>
                <w:szCs w:val="22"/>
              </w:rPr>
              <w:t>.</w:t>
            </w:r>
          </w:p>
        </w:tc>
      </w:tr>
      <w:tr w:rsidR="006A1E0F" w:rsidRPr="006C433A" w:rsidTr="00EB263C">
        <w:tc>
          <w:tcPr>
            <w:tcW w:w="2689" w:type="dxa"/>
          </w:tcPr>
          <w:p w:rsidR="006A1E0F" w:rsidRPr="006C433A" w:rsidRDefault="00894334" w:rsidP="00FD7307">
            <w:pPr>
              <w:spacing w:line="240" w:lineRule="auto"/>
              <w:rPr>
                <w:color w:val="auto"/>
                <w:sz w:val="22"/>
                <w:szCs w:val="22"/>
              </w:rPr>
            </w:pPr>
            <w:r w:rsidRPr="006C433A">
              <w:rPr>
                <w:color w:val="auto"/>
                <w:sz w:val="22"/>
                <w:szCs w:val="22"/>
              </w:rPr>
              <w:t xml:space="preserve">Landen waarin wordt belegd waar mensen- en arbeidsrechten </w:t>
            </w:r>
            <w:r w:rsidR="009C4D21">
              <w:rPr>
                <w:color w:val="auto"/>
                <w:sz w:val="22"/>
                <w:szCs w:val="22"/>
              </w:rPr>
              <w:t>worden geschonden</w:t>
            </w:r>
          </w:p>
        </w:tc>
        <w:tc>
          <w:tcPr>
            <w:tcW w:w="4961" w:type="dxa"/>
          </w:tcPr>
          <w:p w:rsidR="006A1E0F" w:rsidRPr="006C433A" w:rsidRDefault="00894334" w:rsidP="00FD7307">
            <w:pPr>
              <w:spacing w:line="240" w:lineRule="auto"/>
              <w:rPr>
                <w:color w:val="auto"/>
                <w:sz w:val="22"/>
                <w:szCs w:val="22"/>
              </w:rPr>
            </w:pPr>
            <w:r w:rsidRPr="006C433A">
              <w:rPr>
                <w:color w:val="auto"/>
                <w:sz w:val="22"/>
                <w:szCs w:val="22"/>
              </w:rPr>
              <w:t>Aantal landen waarin wordt belegd waar mensen- en arbeidsrechten worden geschonden (absolute aantal en relatieve aantal gedeeld door alle landen waarin wordt belegd</w:t>
            </w:r>
            <w:r w:rsidR="006A1E0F" w:rsidRPr="006C433A">
              <w:rPr>
                <w:color w:val="auto"/>
                <w:sz w:val="22"/>
                <w:szCs w:val="22"/>
              </w:rPr>
              <w:t>), a</w:t>
            </w:r>
            <w:r w:rsidRPr="006C433A">
              <w:rPr>
                <w:color w:val="auto"/>
                <w:sz w:val="22"/>
                <w:szCs w:val="22"/>
              </w:rPr>
              <w:t>ls bedoeld in internationale verdragen en overeenkomsten, de beginselen van de Verenigde Naties en, indien van toepassing, nationaal recht.</w:t>
            </w:r>
          </w:p>
        </w:tc>
        <w:tc>
          <w:tcPr>
            <w:tcW w:w="2410" w:type="dxa"/>
          </w:tcPr>
          <w:p w:rsidR="006A1E0F" w:rsidRPr="006C433A" w:rsidRDefault="005B2E92" w:rsidP="00FD7307">
            <w:pPr>
              <w:spacing w:line="240" w:lineRule="auto"/>
              <w:rPr>
                <w:color w:val="auto"/>
                <w:sz w:val="22"/>
                <w:szCs w:val="22"/>
              </w:rPr>
            </w:pPr>
            <w:r w:rsidRPr="006C433A">
              <w:rPr>
                <w:color w:val="auto"/>
                <w:sz w:val="22"/>
                <w:szCs w:val="22"/>
              </w:rPr>
              <w:t>Uitsluitingen</w:t>
            </w:r>
            <w:r w:rsidR="006A1E0F" w:rsidRPr="006C433A">
              <w:rPr>
                <w:color w:val="auto"/>
                <w:sz w:val="22"/>
                <w:szCs w:val="22"/>
              </w:rPr>
              <w:t xml:space="preserve">. </w:t>
            </w:r>
          </w:p>
        </w:tc>
      </w:tr>
    </w:tbl>
    <w:p w:rsidR="00B97BCE" w:rsidRPr="006C433A" w:rsidRDefault="00B97BCE" w:rsidP="00596900">
      <w:pPr>
        <w:spacing w:line="240" w:lineRule="auto"/>
        <w:rPr>
          <w:color w:val="auto"/>
          <w:sz w:val="22"/>
          <w:szCs w:val="22"/>
        </w:rPr>
      </w:pPr>
    </w:p>
    <w:p w:rsidR="00B97BCE" w:rsidRPr="006C433A" w:rsidRDefault="00984C26" w:rsidP="00B97BCE">
      <w:pPr>
        <w:spacing w:line="240" w:lineRule="auto"/>
        <w:rPr>
          <w:color w:val="auto"/>
          <w:sz w:val="22"/>
          <w:szCs w:val="22"/>
        </w:rPr>
      </w:pPr>
      <w:r w:rsidRPr="006C433A">
        <w:rPr>
          <w:color w:val="auto"/>
          <w:sz w:val="22"/>
          <w:szCs w:val="22"/>
        </w:rPr>
        <w:t xml:space="preserve">We </w:t>
      </w:r>
      <w:r w:rsidR="00E70C64" w:rsidRPr="006C433A">
        <w:rPr>
          <w:color w:val="auto"/>
          <w:sz w:val="22"/>
          <w:szCs w:val="22"/>
        </w:rPr>
        <w:t xml:space="preserve">zorgen ervoor dat alle verplichte </w:t>
      </w:r>
      <w:proofErr w:type="spellStart"/>
      <w:r w:rsidR="00E70C64" w:rsidRPr="006C433A">
        <w:rPr>
          <w:color w:val="auto"/>
          <w:sz w:val="22"/>
          <w:szCs w:val="22"/>
        </w:rPr>
        <w:t>PAI’s</w:t>
      </w:r>
      <w:proofErr w:type="spellEnd"/>
      <w:r w:rsidR="00E70C64" w:rsidRPr="006C433A">
        <w:rPr>
          <w:color w:val="auto"/>
          <w:sz w:val="22"/>
          <w:szCs w:val="22"/>
        </w:rPr>
        <w:t xml:space="preserve"> in ons </w:t>
      </w:r>
      <w:r w:rsidR="00423D7F">
        <w:rPr>
          <w:color w:val="auto"/>
          <w:sz w:val="22"/>
          <w:szCs w:val="22"/>
        </w:rPr>
        <w:t>Beleid Duurzaam Beleggen</w:t>
      </w:r>
      <w:r w:rsidR="00E70C64" w:rsidRPr="006C433A">
        <w:rPr>
          <w:color w:val="auto"/>
          <w:sz w:val="22"/>
          <w:szCs w:val="22"/>
        </w:rPr>
        <w:t xml:space="preserve"> worden opgenomen zodra ze definitief zijn. Daarnaast zullen we bovenstaande tabel bijwerken met alle verplichte </w:t>
      </w:r>
      <w:proofErr w:type="spellStart"/>
      <w:r w:rsidR="00E70C64" w:rsidRPr="006C433A">
        <w:rPr>
          <w:color w:val="auto"/>
          <w:sz w:val="22"/>
          <w:szCs w:val="22"/>
        </w:rPr>
        <w:t>PAI’s</w:t>
      </w:r>
      <w:proofErr w:type="spellEnd"/>
      <w:r w:rsidR="00E70C64" w:rsidRPr="006C433A">
        <w:rPr>
          <w:color w:val="auto"/>
          <w:sz w:val="22"/>
          <w:szCs w:val="22"/>
        </w:rPr>
        <w:t xml:space="preserve">, en mochten we een van de verplichte </w:t>
      </w:r>
      <w:proofErr w:type="spellStart"/>
      <w:r w:rsidR="00E70C64" w:rsidRPr="006C433A">
        <w:rPr>
          <w:color w:val="auto"/>
          <w:sz w:val="22"/>
          <w:szCs w:val="22"/>
        </w:rPr>
        <w:t>PAI’s</w:t>
      </w:r>
      <w:proofErr w:type="spellEnd"/>
      <w:r w:rsidR="00E70C64" w:rsidRPr="006C433A">
        <w:rPr>
          <w:color w:val="auto"/>
          <w:sz w:val="22"/>
          <w:szCs w:val="22"/>
        </w:rPr>
        <w:t xml:space="preserve"> (nog) niet in aanmerking nemen, dan zullen we </w:t>
      </w:r>
      <w:r w:rsidR="004F0911">
        <w:rPr>
          <w:color w:val="auto"/>
          <w:sz w:val="22"/>
          <w:szCs w:val="22"/>
        </w:rPr>
        <w:t xml:space="preserve">aangeven wat </w:t>
      </w:r>
      <w:r w:rsidR="00E70C64" w:rsidRPr="006C433A">
        <w:rPr>
          <w:color w:val="auto"/>
          <w:sz w:val="22"/>
          <w:szCs w:val="22"/>
        </w:rPr>
        <w:t>de reden daarvoor</w:t>
      </w:r>
      <w:r w:rsidR="004F0911">
        <w:rPr>
          <w:color w:val="auto"/>
          <w:sz w:val="22"/>
          <w:szCs w:val="22"/>
        </w:rPr>
        <w:t xml:space="preserve"> is</w:t>
      </w:r>
      <w:r w:rsidR="00E70C64" w:rsidRPr="006C433A">
        <w:rPr>
          <w:color w:val="auto"/>
          <w:sz w:val="22"/>
          <w:szCs w:val="22"/>
        </w:rPr>
        <w:t xml:space="preserve">. Databeschikbaarheid bijvoorbeeld, kan voor </w:t>
      </w:r>
      <w:r w:rsidR="009C4D21">
        <w:rPr>
          <w:color w:val="auto"/>
          <w:sz w:val="22"/>
          <w:szCs w:val="22"/>
        </w:rPr>
        <w:t>sommige</w:t>
      </w:r>
      <w:r w:rsidR="00E70C64" w:rsidRPr="006C433A">
        <w:rPr>
          <w:color w:val="auto"/>
          <w:sz w:val="22"/>
          <w:szCs w:val="22"/>
        </w:rPr>
        <w:t xml:space="preserve"> </w:t>
      </w:r>
      <w:proofErr w:type="spellStart"/>
      <w:r w:rsidR="00E70C64" w:rsidRPr="006C433A">
        <w:rPr>
          <w:color w:val="auto"/>
          <w:sz w:val="22"/>
          <w:szCs w:val="22"/>
        </w:rPr>
        <w:t>PAI’s</w:t>
      </w:r>
      <w:proofErr w:type="spellEnd"/>
      <w:r w:rsidR="00E70C64" w:rsidRPr="006C433A">
        <w:rPr>
          <w:color w:val="auto"/>
          <w:sz w:val="22"/>
          <w:szCs w:val="22"/>
        </w:rPr>
        <w:t xml:space="preserve"> een </w:t>
      </w:r>
      <w:r w:rsidR="006C433A" w:rsidRPr="006C433A">
        <w:rPr>
          <w:color w:val="auto"/>
          <w:sz w:val="22"/>
          <w:szCs w:val="22"/>
        </w:rPr>
        <w:t>probleem</w:t>
      </w:r>
      <w:r w:rsidR="00E70C64" w:rsidRPr="006C433A">
        <w:rPr>
          <w:color w:val="auto"/>
          <w:sz w:val="22"/>
          <w:szCs w:val="22"/>
        </w:rPr>
        <w:t xml:space="preserve"> zijn. Als er voor bepaalde </w:t>
      </w:r>
      <w:proofErr w:type="spellStart"/>
      <w:r w:rsidR="00E70C64" w:rsidRPr="006C433A">
        <w:rPr>
          <w:color w:val="auto"/>
          <w:sz w:val="22"/>
          <w:szCs w:val="22"/>
        </w:rPr>
        <w:t>PAI’s</w:t>
      </w:r>
      <w:proofErr w:type="spellEnd"/>
      <w:r w:rsidR="00E70C64" w:rsidRPr="006C433A">
        <w:rPr>
          <w:color w:val="auto"/>
          <w:sz w:val="22"/>
          <w:szCs w:val="22"/>
        </w:rPr>
        <w:t xml:space="preserve"> nog geen betrouwbare gegevens beschikbaar zijn, zullen we dit aangeven en in samenwerking met de desbetreffende </w:t>
      </w:r>
      <w:r w:rsidR="00C817C7" w:rsidRPr="006C433A">
        <w:rPr>
          <w:color w:val="auto"/>
          <w:sz w:val="22"/>
          <w:szCs w:val="22"/>
        </w:rPr>
        <w:t>dataleveranciers</w:t>
      </w:r>
      <w:r w:rsidR="00E70C64" w:rsidRPr="006C433A">
        <w:rPr>
          <w:color w:val="auto"/>
          <w:sz w:val="22"/>
          <w:szCs w:val="22"/>
        </w:rPr>
        <w:t xml:space="preserve"> proberen die gegevens te </w:t>
      </w:r>
      <w:r w:rsidR="009C4D21">
        <w:rPr>
          <w:color w:val="auto"/>
          <w:sz w:val="22"/>
          <w:szCs w:val="22"/>
        </w:rPr>
        <w:t>achterhalen</w:t>
      </w:r>
      <w:r w:rsidR="00E70C64" w:rsidRPr="006C433A">
        <w:rPr>
          <w:color w:val="auto"/>
          <w:sz w:val="22"/>
          <w:szCs w:val="22"/>
        </w:rPr>
        <w:t>. In die gevallen zullen we regelmatig statusupdates geven.</w:t>
      </w:r>
    </w:p>
    <w:p w:rsidR="00B97BCE" w:rsidRPr="006C433A" w:rsidRDefault="00B97BCE" w:rsidP="00596900">
      <w:pPr>
        <w:spacing w:line="240" w:lineRule="auto"/>
        <w:rPr>
          <w:color w:val="auto"/>
          <w:sz w:val="22"/>
          <w:szCs w:val="22"/>
        </w:rPr>
      </w:pPr>
    </w:p>
    <w:p w:rsidR="00B97BCE" w:rsidRPr="006C433A" w:rsidRDefault="009536C8" w:rsidP="00596900">
      <w:pPr>
        <w:spacing w:line="240" w:lineRule="auto"/>
        <w:rPr>
          <w:color w:val="auto"/>
          <w:sz w:val="22"/>
          <w:szCs w:val="22"/>
        </w:rPr>
      </w:pPr>
      <w:r w:rsidRPr="006C433A">
        <w:rPr>
          <w:color w:val="auto"/>
          <w:sz w:val="22"/>
          <w:szCs w:val="22"/>
        </w:rPr>
        <w:t xml:space="preserve">Als de lijst van </w:t>
      </w:r>
      <w:proofErr w:type="spellStart"/>
      <w:r w:rsidRPr="006C433A">
        <w:rPr>
          <w:color w:val="auto"/>
          <w:sz w:val="22"/>
          <w:szCs w:val="22"/>
        </w:rPr>
        <w:t>PAI’s</w:t>
      </w:r>
      <w:proofErr w:type="spellEnd"/>
      <w:r w:rsidRPr="006C433A">
        <w:rPr>
          <w:color w:val="auto"/>
          <w:sz w:val="22"/>
          <w:szCs w:val="22"/>
        </w:rPr>
        <w:t xml:space="preserve"> definitief is, zullen we bovendien vaststellen welke van de optionele </w:t>
      </w:r>
      <w:proofErr w:type="spellStart"/>
      <w:r w:rsidRPr="006C433A">
        <w:rPr>
          <w:color w:val="auto"/>
          <w:sz w:val="22"/>
          <w:szCs w:val="22"/>
        </w:rPr>
        <w:t>PAI’s</w:t>
      </w:r>
      <w:proofErr w:type="spellEnd"/>
      <w:r w:rsidRPr="006C433A">
        <w:rPr>
          <w:color w:val="auto"/>
          <w:sz w:val="22"/>
          <w:szCs w:val="22"/>
        </w:rPr>
        <w:t xml:space="preserve"> structureel deel uitma</w:t>
      </w:r>
      <w:r w:rsidR="009C4D21">
        <w:rPr>
          <w:color w:val="auto"/>
          <w:sz w:val="22"/>
          <w:szCs w:val="22"/>
        </w:rPr>
        <w:t>ken</w:t>
      </w:r>
      <w:r w:rsidRPr="006C433A">
        <w:rPr>
          <w:color w:val="auto"/>
          <w:sz w:val="22"/>
          <w:szCs w:val="22"/>
        </w:rPr>
        <w:t xml:space="preserve"> van onze duurzame beleggingsstrategie en deze in de tabel opnemen. Ons eerste kwantitatieve rapport over de afzonderlijke </w:t>
      </w:r>
      <w:proofErr w:type="spellStart"/>
      <w:r w:rsidRPr="006C433A">
        <w:rPr>
          <w:color w:val="auto"/>
          <w:sz w:val="22"/>
          <w:szCs w:val="22"/>
        </w:rPr>
        <w:t>PAI’s</w:t>
      </w:r>
      <w:proofErr w:type="spellEnd"/>
      <w:r w:rsidRPr="006C433A">
        <w:rPr>
          <w:color w:val="auto"/>
          <w:sz w:val="22"/>
          <w:szCs w:val="22"/>
        </w:rPr>
        <w:t xml:space="preserve"> brengen we uit voor 30 juni 2023 op basis van het kalenderjaar </w:t>
      </w:r>
      <w:r w:rsidR="00B97BCE" w:rsidRPr="006C433A">
        <w:rPr>
          <w:color w:val="auto"/>
          <w:sz w:val="22"/>
          <w:szCs w:val="22"/>
        </w:rPr>
        <w:t xml:space="preserve">2022. </w:t>
      </w:r>
    </w:p>
    <w:p w:rsidR="006A1E0F" w:rsidRPr="006C433A" w:rsidRDefault="006A1E0F" w:rsidP="006A1E0F"/>
    <w:p w:rsidR="00B97BCE" w:rsidRPr="006C433A" w:rsidRDefault="009C4D21" w:rsidP="00B97BCE">
      <w:pPr>
        <w:spacing w:line="240" w:lineRule="auto"/>
        <w:rPr>
          <w:color w:val="auto"/>
          <w:sz w:val="22"/>
          <w:szCs w:val="22"/>
        </w:rPr>
      </w:pPr>
      <w:r>
        <w:rPr>
          <w:color w:val="auto"/>
          <w:sz w:val="22"/>
          <w:szCs w:val="22"/>
        </w:rPr>
        <w:t>W</w:t>
      </w:r>
      <w:r w:rsidR="002C23B5" w:rsidRPr="006C433A">
        <w:rPr>
          <w:color w:val="auto"/>
          <w:sz w:val="22"/>
          <w:szCs w:val="22"/>
        </w:rPr>
        <w:t xml:space="preserve">anneer we </w:t>
      </w:r>
      <w:r>
        <w:rPr>
          <w:color w:val="auto"/>
          <w:sz w:val="22"/>
          <w:szCs w:val="22"/>
        </w:rPr>
        <w:t xml:space="preserve">tenslotte </w:t>
      </w:r>
      <w:r w:rsidR="002C23B5" w:rsidRPr="006C433A">
        <w:rPr>
          <w:color w:val="auto"/>
          <w:sz w:val="22"/>
          <w:szCs w:val="22"/>
        </w:rPr>
        <w:t xml:space="preserve">ons </w:t>
      </w:r>
      <w:r w:rsidR="00423D7F">
        <w:rPr>
          <w:color w:val="auto"/>
          <w:sz w:val="22"/>
          <w:szCs w:val="22"/>
        </w:rPr>
        <w:t>Beleid Duurzaam Beleggen</w:t>
      </w:r>
      <w:r w:rsidR="002C23B5" w:rsidRPr="006C433A">
        <w:rPr>
          <w:color w:val="auto"/>
          <w:sz w:val="22"/>
          <w:szCs w:val="22"/>
        </w:rPr>
        <w:t xml:space="preserve"> hebben bijgesteld op basis van de definitieve lijst van verplichte </w:t>
      </w:r>
      <w:proofErr w:type="spellStart"/>
      <w:r w:rsidR="002C23B5" w:rsidRPr="006C433A">
        <w:rPr>
          <w:color w:val="auto"/>
          <w:sz w:val="22"/>
          <w:szCs w:val="22"/>
        </w:rPr>
        <w:t>PAI’s</w:t>
      </w:r>
      <w:proofErr w:type="spellEnd"/>
      <w:r w:rsidR="002C23B5" w:rsidRPr="006C433A">
        <w:rPr>
          <w:color w:val="auto"/>
          <w:sz w:val="22"/>
          <w:szCs w:val="22"/>
        </w:rPr>
        <w:t xml:space="preserve">, zullen we ervoor zorgen dat onze interne </w:t>
      </w:r>
      <w:proofErr w:type="spellStart"/>
      <w:r w:rsidR="002C23B5" w:rsidRPr="006C433A">
        <w:rPr>
          <w:color w:val="auto"/>
          <w:sz w:val="22"/>
          <w:szCs w:val="22"/>
        </w:rPr>
        <w:t>due</w:t>
      </w:r>
      <w:proofErr w:type="spellEnd"/>
      <w:r w:rsidR="002C23B5" w:rsidRPr="006C433A">
        <w:rPr>
          <w:color w:val="auto"/>
          <w:sz w:val="22"/>
          <w:szCs w:val="22"/>
        </w:rPr>
        <w:t xml:space="preserve"> diligence, monitoring en verslag</w:t>
      </w:r>
      <w:r w:rsidR="0007433C">
        <w:rPr>
          <w:color w:val="auto"/>
          <w:sz w:val="22"/>
          <w:szCs w:val="22"/>
        </w:rPr>
        <w:t>leggin</w:t>
      </w:r>
      <w:r w:rsidR="00715719">
        <w:rPr>
          <w:color w:val="auto"/>
          <w:sz w:val="22"/>
          <w:szCs w:val="22"/>
        </w:rPr>
        <w:t>g</w:t>
      </w:r>
      <w:r w:rsidR="0007433C">
        <w:rPr>
          <w:color w:val="auto"/>
          <w:sz w:val="22"/>
          <w:szCs w:val="22"/>
        </w:rPr>
        <w:t>s</w:t>
      </w:r>
      <w:r w:rsidR="002C23B5" w:rsidRPr="006C433A">
        <w:rPr>
          <w:color w:val="auto"/>
          <w:sz w:val="22"/>
          <w:szCs w:val="22"/>
        </w:rPr>
        <w:t xml:space="preserve">mechanismes ook worden afgestemd op deze nieuwe </w:t>
      </w:r>
      <w:proofErr w:type="spellStart"/>
      <w:r w:rsidR="002C23B5" w:rsidRPr="006C433A">
        <w:rPr>
          <w:color w:val="auto"/>
          <w:sz w:val="22"/>
          <w:szCs w:val="22"/>
        </w:rPr>
        <w:t>PAI’s</w:t>
      </w:r>
      <w:proofErr w:type="spellEnd"/>
      <w:r w:rsidR="002C23B5" w:rsidRPr="006C433A">
        <w:rPr>
          <w:color w:val="auto"/>
          <w:sz w:val="22"/>
          <w:szCs w:val="22"/>
        </w:rPr>
        <w:t xml:space="preserve">. Tegelijkertijd worden deze </w:t>
      </w:r>
      <w:proofErr w:type="spellStart"/>
      <w:r w:rsidR="002C23B5" w:rsidRPr="006C433A">
        <w:rPr>
          <w:color w:val="auto"/>
          <w:sz w:val="22"/>
          <w:szCs w:val="22"/>
        </w:rPr>
        <w:t>PAI’s</w:t>
      </w:r>
      <w:proofErr w:type="spellEnd"/>
      <w:r w:rsidR="002C23B5" w:rsidRPr="006C433A">
        <w:rPr>
          <w:color w:val="auto"/>
          <w:sz w:val="22"/>
          <w:szCs w:val="22"/>
        </w:rPr>
        <w:t xml:space="preserve"> geïntegreerd in onze vereisten voor externe </w:t>
      </w:r>
      <w:r w:rsidR="002A45FE" w:rsidRPr="006C433A">
        <w:rPr>
          <w:color w:val="auto"/>
          <w:sz w:val="22"/>
          <w:szCs w:val="22"/>
        </w:rPr>
        <w:t>beheerder</w:t>
      </w:r>
      <w:r w:rsidR="002C23B5" w:rsidRPr="006C433A">
        <w:rPr>
          <w:color w:val="auto"/>
          <w:sz w:val="22"/>
          <w:szCs w:val="22"/>
        </w:rPr>
        <w:t xml:space="preserve">s, wat tot uiting zal komen in de keuze en aanstelling van </w:t>
      </w:r>
      <w:r w:rsidR="002A45FE" w:rsidRPr="006C433A">
        <w:rPr>
          <w:color w:val="auto"/>
          <w:sz w:val="22"/>
          <w:szCs w:val="22"/>
        </w:rPr>
        <w:t>beheerder</w:t>
      </w:r>
      <w:r w:rsidR="002C23B5" w:rsidRPr="006C433A">
        <w:rPr>
          <w:color w:val="auto"/>
          <w:sz w:val="22"/>
          <w:szCs w:val="22"/>
        </w:rPr>
        <w:t>s (waar van toepassing), monitoring, periodieke beoordelingen en rapportages.</w:t>
      </w:r>
      <w:r w:rsidR="002E57A8" w:rsidRPr="006C433A">
        <w:rPr>
          <w:color w:val="auto"/>
          <w:sz w:val="22"/>
          <w:szCs w:val="22"/>
        </w:rPr>
        <w:t xml:space="preserve"> </w:t>
      </w:r>
      <w:r w:rsidR="00B97BCE" w:rsidRPr="006C433A">
        <w:rPr>
          <w:color w:val="auto"/>
          <w:sz w:val="22"/>
          <w:szCs w:val="22"/>
        </w:rPr>
        <w:t xml:space="preserve"> </w:t>
      </w:r>
    </w:p>
    <w:p w:rsidR="006A1E0F" w:rsidRPr="006C433A" w:rsidRDefault="006A1E0F" w:rsidP="006A1E0F"/>
    <w:p w:rsidR="006A1E0F" w:rsidRPr="006C433A" w:rsidRDefault="006A1E0F" w:rsidP="00F80647">
      <w:pPr>
        <w:pStyle w:val="Heading2"/>
        <w:numPr>
          <w:ilvl w:val="0"/>
          <w:numId w:val="0"/>
        </w:numPr>
      </w:pPr>
    </w:p>
    <w:p w:rsidR="006A1E0F" w:rsidRPr="006C433A" w:rsidRDefault="00D869A7" w:rsidP="00F80647">
      <w:pPr>
        <w:pStyle w:val="Heading2"/>
      </w:pPr>
      <w:r w:rsidRPr="006C433A">
        <w:t xml:space="preserve">beschrijving beleid tot vaststelling en prioritering </w:t>
      </w:r>
      <w:r w:rsidR="00B90C17">
        <w:br/>
      </w:r>
      <w:r w:rsidRPr="006C433A">
        <w:t xml:space="preserve">van </w:t>
      </w:r>
      <w:r w:rsidR="00387312">
        <w:t>belangrijkste</w:t>
      </w:r>
      <w:r w:rsidRPr="006C433A">
        <w:t xml:space="preserve"> ongunstige effecten</w:t>
      </w:r>
    </w:p>
    <w:p w:rsidR="00B47D8A" w:rsidRPr="006C433A" w:rsidRDefault="00B47D8A" w:rsidP="00B47D8A">
      <w:pPr>
        <w:spacing w:line="240" w:lineRule="auto"/>
        <w:rPr>
          <w:color w:val="auto"/>
          <w:sz w:val="22"/>
          <w:szCs w:val="22"/>
        </w:rPr>
      </w:pPr>
      <w:r w:rsidRPr="006C433A">
        <w:rPr>
          <w:color w:val="auto"/>
          <w:sz w:val="22"/>
          <w:szCs w:val="22"/>
        </w:rPr>
        <w:t>Quintet h</w:t>
      </w:r>
      <w:r w:rsidR="0029425F" w:rsidRPr="006C433A">
        <w:rPr>
          <w:color w:val="auto"/>
          <w:sz w:val="22"/>
          <w:szCs w:val="22"/>
        </w:rPr>
        <w:t>eeft een kader geformuleerd voor duurzame beleggingen op basis van international</w:t>
      </w:r>
      <w:r w:rsidR="00E14021" w:rsidRPr="006C433A">
        <w:rPr>
          <w:color w:val="auto"/>
          <w:sz w:val="22"/>
          <w:szCs w:val="22"/>
        </w:rPr>
        <w:t>e</w:t>
      </w:r>
      <w:r w:rsidR="0029425F" w:rsidRPr="006C433A">
        <w:rPr>
          <w:color w:val="auto"/>
          <w:sz w:val="22"/>
          <w:szCs w:val="22"/>
        </w:rPr>
        <w:t xml:space="preserve"> duurzaamheids</w:t>
      </w:r>
      <w:r w:rsidR="00387312">
        <w:rPr>
          <w:color w:val="auto"/>
          <w:sz w:val="22"/>
          <w:szCs w:val="22"/>
        </w:rPr>
        <w:t>normen</w:t>
      </w:r>
      <w:r w:rsidR="0029425F" w:rsidRPr="006C433A">
        <w:rPr>
          <w:color w:val="auto"/>
          <w:sz w:val="22"/>
          <w:szCs w:val="22"/>
        </w:rPr>
        <w:t xml:space="preserve"> en standaarden, </w:t>
      </w:r>
      <w:r w:rsidR="0029425F" w:rsidRPr="00F80647">
        <w:rPr>
          <w:iCs/>
          <w:color w:val="auto"/>
          <w:sz w:val="22"/>
          <w:szCs w:val="22"/>
        </w:rPr>
        <w:t xml:space="preserve">best </w:t>
      </w:r>
      <w:proofErr w:type="spellStart"/>
      <w:r w:rsidR="0029425F" w:rsidRPr="00F80647">
        <w:rPr>
          <w:iCs/>
          <w:color w:val="auto"/>
          <w:sz w:val="22"/>
          <w:szCs w:val="22"/>
        </w:rPr>
        <w:t>practices</w:t>
      </w:r>
      <w:proofErr w:type="spellEnd"/>
      <w:r w:rsidR="0029425F" w:rsidRPr="006C433A">
        <w:rPr>
          <w:i/>
          <w:iCs/>
          <w:color w:val="auto"/>
          <w:sz w:val="22"/>
          <w:szCs w:val="22"/>
        </w:rPr>
        <w:t xml:space="preserve">, </w:t>
      </w:r>
      <w:r w:rsidR="0029425F" w:rsidRPr="006C433A">
        <w:rPr>
          <w:color w:val="auto"/>
          <w:sz w:val="22"/>
          <w:szCs w:val="22"/>
        </w:rPr>
        <w:t xml:space="preserve">en richtlijnen van organisaties uit de sector. Daarnaast </w:t>
      </w:r>
      <w:r w:rsidR="00886D92">
        <w:rPr>
          <w:color w:val="auto"/>
          <w:sz w:val="22"/>
          <w:szCs w:val="22"/>
        </w:rPr>
        <w:t>is het</w:t>
      </w:r>
      <w:r w:rsidR="0029425F" w:rsidRPr="006C433A">
        <w:rPr>
          <w:color w:val="auto"/>
          <w:sz w:val="22"/>
          <w:szCs w:val="22"/>
        </w:rPr>
        <w:t xml:space="preserve"> kader </w:t>
      </w:r>
      <w:r w:rsidR="00886D92">
        <w:rPr>
          <w:color w:val="auto"/>
          <w:sz w:val="22"/>
          <w:szCs w:val="22"/>
        </w:rPr>
        <w:t xml:space="preserve">gebaseerd op </w:t>
      </w:r>
      <w:r w:rsidR="0029425F" w:rsidRPr="006C433A">
        <w:rPr>
          <w:color w:val="auto"/>
          <w:sz w:val="22"/>
          <w:szCs w:val="22"/>
        </w:rPr>
        <w:t xml:space="preserve">onze interne expertise en inzichten in duurzame ontwikkelingen. Dit wordt uitgedrukt in de minimale vereisten waaraan beleggingen moeten voldoen en de bijkomende vereisten die zijn verwerkt in verschillende aspecten van onze benadering van duurzaam beleggen, zoals engagement en stemmen. </w:t>
      </w:r>
      <w:r w:rsidR="00F013EB" w:rsidRPr="006C433A">
        <w:rPr>
          <w:color w:val="auto"/>
          <w:sz w:val="22"/>
          <w:szCs w:val="22"/>
        </w:rPr>
        <w:t xml:space="preserve">Onze </w:t>
      </w:r>
      <w:proofErr w:type="spellStart"/>
      <w:r w:rsidR="00F013EB" w:rsidRPr="006C433A">
        <w:rPr>
          <w:color w:val="auto"/>
          <w:sz w:val="22"/>
          <w:szCs w:val="22"/>
        </w:rPr>
        <w:t>due</w:t>
      </w:r>
      <w:proofErr w:type="spellEnd"/>
      <w:r w:rsidR="00F013EB" w:rsidRPr="006C433A">
        <w:rPr>
          <w:color w:val="auto"/>
          <w:sz w:val="22"/>
          <w:szCs w:val="22"/>
        </w:rPr>
        <w:t xml:space="preserve"> diligence-procedure maakt optimaal gebruik van de input van gespecialiseerde externe partijen, zoals onderzoek en informatie over ESG, inzichten in engagement, en stemanalyses en aanbevelingen. Dit passen we vervolgens toe op ons beleggingsuniversum, waarbij we beoordelen of beleggingen </w:t>
      </w:r>
      <w:r w:rsidR="00655711" w:rsidRPr="006C433A">
        <w:rPr>
          <w:color w:val="auto"/>
          <w:sz w:val="22"/>
          <w:szCs w:val="22"/>
        </w:rPr>
        <w:t xml:space="preserve">aan onze vereisten voldoen. Zo niet, dan </w:t>
      </w:r>
      <w:r w:rsidR="00655711" w:rsidRPr="006C433A">
        <w:rPr>
          <w:color w:val="auto"/>
          <w:sz w:val="22"/>
          <w:szCs w:val="22"/>
        </w:rPr>
        <w:lastRenderedPageBreak/>
        <w:t>worden deze beleggingen uitgesloten van het beleggingsuniversum, of opgenomen in ons engagementprogramma om zo de ongunstige effecten te beperken. Meer informatie over on</w:t>
      </w:r>
      <w:r w:rsidR="00387312">
        <w:rPr>
          <w:color w:val="auto"/>
          <w:sz w:val="22"/>
          <w:szCs w:val="22"/>
        </w:rPr>
        <w:t>s betrokkenheidsbeleid</w:t>
      </w:r>
      <w:r w:rsidR="00655711" w:rsidRPr="006C433A">
        <w:rPr>
          <w:color w:val="auto"/>
          <w:sz w:val="22"/>
          <w:szCs w:val="22"/>
        </w:rPr>
        <w:t xml:space="preserve"> vindt u </w:t>
      </w:r>
      <w:r w:rsidR="00387312">
        <w:rPr>
          <w:color w:val="auto"/>
          <w:sz w:val="22"/>
          <w:szCs w:val="22"/>
        </w:rPr>
        <w:t>onder</w:t>
      </w:r>
      <w:r w:rsidR="00655711" w:rsidRPr="006C433A">
        <w:rPr>
          <w:color w:val="auto"/>
          <w:sz w:val="22"/>
          <w:szCs w:val="22"/>
        </w:rPr>
        <w:t xml:space="preserve"> C. Als beleggingen aan onze vereisten voldoen maar we </w:t>
      </w:r>
      <w:r w:rsidR="00CB0717" w:rsidRPr="006C433A">
        <w:rPr>
          <w:color w:val="auto"/>
          <w:sz w:val="22"/>
          <w:szCs w:val="22"/>
        </w:rPr>
        <w:t xml:space="preserve">toch ernstige problemen zien in verband met ongunstige effecten, </w:t>
      </w:r>
      <w:r w:rsidR="00FF38D6">
        <w:rPr>
          <w:color w:val="auto"/>
          <w:sz w:val="22"/>
          <w:szCs w:val="22"/>
        </w:rPr>
        <w:t xml:space="preserve">benaderen </w:t>
      </w:r>
      <w:r w:rsidR="00CB0717" w:rsidRPr="006C433A">
        <w:rPr>
          <w:color w:val="auto"/>
          <w:sz w:val="22"/>
          <w:szCs w:val="22"/>
        </w:rPr>
        <w:t>we die problemen als deel van onze engagementwerkzaamheden en door middel van ons stembeleid.</w:t>
      </w:r>
      <w:r w:rsidRPr="006C433A">
        <w:rPr>
          <w:color w:val="auto"/>
          <w:sz w:val="22"/>
          <w:szCs w:val="22"/>
        </w:rPr>
        <w:t xml:space="preserve"> </w:t>
      </w:r>
      <w:r w:rsidR="00EF070C" w:rsidRPr="006C433A">
        <w:rPr>
          <w:color w:val="auto"/>
          <w:sz w:val="22"/>
          <w:szCs w:val="22"/>
        </w:rPr>
        <w:t xml:space="preserve">We geven geen prioriteit aan bepaalde </w:t>
      </w:r>
      <w:proofErr w:type="spellStart"/>
      <w:r w:rsidR="00EF070C" w:rsidRPr="006C433A">
        <w:rPr>
          <w:color w:val="auto"/>
          <w:sz w:val="22"/>
          <w:szCs w:val="22"/>
        </w:rPr>
        <w:t>PAI’s</w:t>
      </w:r>
      <w:proofErr w:type="spellEnd"/>
      <w:r w:rsidR="00EF070C" w:rsidRPr="006C433A">
        <w:rPr>
          <w:color w:val="auto"/>
          <w:sz w:val="22"/>
          <w:szCs w:val="22"/>
        </w:rPr>
        <w:t xml:space="preserve"> maar als er keuzes gemaakt moeten worden in de toewijzing van middelen, richten we ons op onze grootste investeringen namens onze cliënten, investeringen met de meest ongunstige effecten en de gevallen waarvan wij geloven dat deze de grootste kans hebben een positieve verandering van betekenis teweeg te brengen.  </w:t>
      </w:r>
      <w:r w:rsidR="000F0756" w:rsidRPr="006C433A">
        <w:rPr>
          <w:color w:val="auto"/>
          <w:sz w:val="22"/>
          <w:szCs w:val="22"/>
        </w:rPr>
        <w:t xml:space="preserve"> </w:t>
      </w:r>
    </w:p>
    <w:p w:rsidR="00984C26" w:rsidRPr="006C433A" w:rsidRDefault="00984C26" w:rsidP="000F0756">
      <w:pPr>
        <w:spacing w:line="240" w:lineRule="auto"/>
        <w:rPr>
          <w:color w:val="auto"/>
          <w:sz w:val="22"/>
          <w:szCs w:val="22"/>
        </w:rPr>
      </w:pPr>
    </w:p>
    <w:p w:rsidR="006A1E0F" w:rsidRPr="006C433A" w:rsidRDefault="002A45FE" w:rsidP="000F0756">
      <w:pPr>
        <w:spacing w:line="240" w:lineRule="auto"/>
      </w:pPr>
      <w:r w:rsidRPr="006C433A">
        <w:rPr>
          <w:color w:val="auto"/>
          <w:sz w:val="22"/>
          <w:szCs w:val="22"/>
        </w:rPr>
        <w:t xml:space="preserve">Daarnaast beoordelen we door middel van onze </w:t>
      </w:r>
      <w:proofErr w:type="spellStart"/>
      <w:r w:rsidRPr="006C433A">
        <w:rPr>
          <w:color w:val="auto"/>
          <w:sz w:val="22"/>
          <w:szCs w:val="22"/>
        </w:rPr>
        <w:t>due</w:t>
      </w:r>
      <w:proofErr w:type="spellEnd"/>
      <w:r w:rsidRPr="006C433A">
        <w:rPr>
          <w:color w:val="auto"/>
          <w:sz w:val="22"/>
          <w:szCs w:val="22"/>
        </w:rPr>
        <w:t xml:space="preserve"> diligence-procedure de bekwaamheid, het beleid en de benadering van onze externe beheerders wanneer het om duurzaam beleggen gaat, zoals de manier waarop zij ongunstige effecten in aanmerking nemen. Wij verwachten van onze externe beheerders dat zij </w:t>
      </w:r>
      <w:proofErr w:type="spellStart"/>
      <w:r w:rsidRPr="006C433A">
        <w:rPr>
          <w:color w:val="auto"/>
          <w:sz w:val="22"/>
          <w:szCs w:val="22"/>
        </w:rPr>
        <w:t>PAI’s</w:t>
      </w:r>
      <w:proofErr w:type="spellEnd"/>
      <w:r w:rsidRPr="006C433A">
        <w:rPr>
          <w:color w:val="auto"/>
          <w:sz w:val="22"/>
          <w:szCs w:val="22"/>
        </w:rPr>
        <w:t xml:space="preserve"> in aanmerking nemen op een manier die aansluit bij de specifieke aard en beleggingsdoelen van het financiële product. </w:t>
      </w:r>
      <w:r w:rsidR="00984C26" w:rsidRPr="006C433A">
        <w:rPr>
          <w:color w:val="auto"/>
          <w:sz w:val="22"/>
          <w:szCs w:val="22"/>
        </w:rPr>
        <w:t xml:space="preserve"> </w:t>
      </w:r>
      <w:r w:rsidRPr="006C433A">
        <w:rPr>
          <w:color w:val="auto"/>
          <w:sz w:val="22"/>
          <w:szCs w:val="22"/>
        </w:rPr>
        <w:t xml:space="preserve">Hieronder vallen structurele </w:t>
      </w:r>
      <w:proofErr w:type="spellStart"/>
      <w:r w:rsidRPr="006C433A">
        <w:rPr>
          <w:color w:val="auto"/>
          <w:sz w:val="22"/>
          <w:szCs w:val="22"/>
        </w:rPr>
        <w:t>due</w:t>
      </w:r>
      <w:proofErr w:type="spellEnd"/>
      <w:r w:rsidRPr="006C433A">
        <w:rPr>
          <w:color w:val="auto"/>
          <w:sz w:val="22"/>
          <w:szCs w:val="22"/>
        </w:rPr>
        <w:t xml:space="preserve"> diligence, monitoring en </w:t>
      </w:r>
      <w:r w:rsidR="0007433C">
        <w:rPr>
          <w:color w:val="auto"/>
          <w:sz w:val="22"/>
          <w:szCs w:val="22"/>
        </w:rPr>
        <w:t>verslaglegging</w:t>
      </w:r>
      <w:r w:rsidRPr="006C433A">
        <w:rPr>
          <w:color w:val="auto"/>
          <w:sz w:val="22"/>
          <w:szCs w:val="22"/>
        </w:rPr>
        <w:t xml:space="preserve">smechanismen met betrekking tot de negatieve effecten die bindende elementen zijn van het financiële product. Als onderdeel van onze eigen </w:t>
      </w:r>
      <w:proofErr w:type="spellStart"/>
      <w:r w:rsidRPr="006C433A">
        <w:rPr>
          <w:color w:val="auto"/>
          <w:sz w:val="22"/>
          <w:szCs w:val="22"/>
        </w:rPr>
        <w:t>due</w:t>
      </w:r>
      <w:proofErr w:type="spellEnd"/>
      <w:r w:rsidRPr="006C433A">
        <w:rPr>
          <w:color w:val="auto"/>
          <w:sz w:val="22"/>
          <w:szCs w:val="22"/>
        </w:rPr>
        <w:t xml:space="preserve"> diligence en monitoring van externe</w:t>
      </w:r>
      <w:r w:rsidR="00984C26" w:rsidRPr="006C433A">
        <w:rPr>
          <w:color w:val="auto"/>
          <w:sz w:val="22"/>
          <w:szCs w:val="22"/>
        </w:rPr>
        <w:t xml:space="preserve"> </w:t>
      </w:r>
      <w:r w:rsidRPr="006C433A">
        <w:rPr>
          <w:color w:val="auto"/>
          <w:sz w:val="22"/>
          <w:szCs w:val="22"/>
        </w:rPr>
        <w:t>beheerder</w:t>
      </w:r>
      <w:r w:rsidR="00984C26" w:rsidRPr="006C433A">
        <w:rPr>
          <w:color w:val="auto"/>
          <w:sz w:val="22"/>
          <w:szCs w:val="22"/>
        </w:rPr>
        <w:t xml:space="preserve">s, </w:t>
      </w:r>
      <w:r w:rsidRPr="006C433A">
        <w:rPr>
          <w:color w:val="auto"/>
          <w:sz w:val="22"/>
          <w:szCs w:val="22"/>
        </w:rPr>
        <w:t>nemen we vervolgens de periodieke rapportages van de externe beheerders voor elk financieel product door en de beheerder</w:t>
      </w:r>
      <w:r w:rsidR="000F0756" w:rsidRPr="006C433A">
        <w:rPr>
          <w:color w:val="auto"/>
          <w:sz w:val="22"/>
          <w:szCs w:val="22"/>
        </w:rPr>
        <w:t xml:space="preserve">s </w:t>
      </w:r>
      <w:r w:rsidRPr="006C433A">
        <w:rPr>
          <w:color w:val="auto"/>
          <w:sz w:val="22"/>
          <w:szCs w:val="22"/>
        </w:rPr>
        <w:t xml:space="preserve">zijn verplicht om regelmatig een uitgebreide </w:t>
      </w:r>
      <w:proofErr w:type="spellStart"/>
      <w:r w:rsidRPr="006C433A">
        <w:rPr>
          <w:color w:val="auto"/>
          <w:sz w:val="22"/>
          <w:szCs w:val="22"/>
        </w:rPr>
        <w:t>due</w:t>
      </w:r>
      <w:proofErr w:type="spellEnd"/>
      <w:r w:rsidRPr="006C433A">
        <w:rPr>
          <w:color w:val="auto"/>
          <w:sz w:val="22"/>
          <w:szCs w:val="22"/>
        </w:rPr>
        <w:t xml:space="preserve"> diligence-vragenlijst in te vullen waarin zij hun beleid, engagement en stemwerkzaamheden </w:t>
      </w:r>
      <w:r w:rsidR="00A722F3">
        <w:rPr>
          <w:color w:val="auto"/>
          <w:sz w:val="22"/>
          <w:szCs w:val="22"/>
        </w:rPr>
        <w:t>uiteenzetten</w:t>
      </w:r>
      <w:r w:rsidRPr="006C433A">
        <w:rPr>
          <w:color w:val="auto"/>
          <w:sz w:val="22"/>
          <w:szCs w:val="22"/>
        </w:rPr>
        <w:t>, evenals de resultaten en plannen.</w:t>
      </w:r>
      <w:r w:rsidR="000F0756" w:rsidRPr="006C433A">
        <w:rPr>
          <w:color w:val="auto"/>
          <w:sz w:val="22"/>
          <w:szCs w:val="22"/>
        </w:rPr>
        <w:t xml:space="preserve"> </w:t>
      </w:r>
    </w:p>
    <w:p w:rsidR="006A1E0F" w:rsidRPr="006C433A" w:rsidRDefault="006A1E0F" w:rsidP="006A1E0F"/>
    <w:p w:rsidR="006A1E0F" w:rsidRPr="006C433A" w:rsidRDefault="006A1E0F" w:rsidP="006A1E0F"/>
    <w:p w:rsidR="006A1E0F" w:rsidRPr="006C433A" w:rsidRDefault="00387312" w:rsidP="00F80647">
      <w:pPr>
        <w:pStyle w:val="Heading2"/>
      </w:pPr>
      <w:r>
        <w:t>betrokkenheids</w:t>
      </w:r>
      <w:r w:rsidR="00E008A6" w:rsidRPr="006C433A">
        <w:t>BELEID</w:t>
      </w:r>
    </w:p>
    <w:p w:rsidR="006A1E0F" w:rsidRPr="006C433A" w:rsidRDefault="002A45FE" w:rsidP="00FD7307">
      <w:pPr>
        <w:spacing w:line="240" w:lineRule="auto"/>
        <w:rPr>
          <w:color w:val="auto"/>
          <w:sz w:val="22"/>
          <w:szCs w:val="22"/>
        </w:rPr>
      </w:pPr>
      <w:r w:rsidRPr="006C433A">
        <w:rPr>
          <w:color w:val="auto"/>
          <w:sz w:val="22"/>
          <w:szCs w:val="22"/>
        </w:rPr>
        <w:t xml:space="preserve">Bij Quintet </w:t>
      </w:r>
      <w:r w:rsidR="00857838" w:rsidRPr="006C433A">
        <w:rPr>
          <w:color w:val="auto"/>
          <w:sz w:val="22"/>
          <w:szCs w:val="22"/>
        </w:rPr>
        <w:t xml:space="preserve">staat duurzaamheid centraal bij onze werkzaamheden, en is de drijfveer achter onze beleggingsfilosofie. Actief </w:t>
      </w:r>
      <w:r w:rsidR="00423D7F">
        <w:rPr>
          <w:color w:val="auto"/>
          <w:sz w:val="22"/>
          <w:szCs w:val="22"/>
        </w:rPr>
        <w:t>aandeelhouderschap</w:t>
      </w:r>
      <w:r w:rsidR="00857838" w:rsidRPr="006C433A">
        <w:rPr>
          <w:color w:val="auto"/>
          <w:sz w:val="22"/>
          <w:szCs w:val="22"/>
        </w:rPr>
        <w:t xml:space="preserve"> maakt een fundamenteel deel uit van ons investeringsproces, en is essentieel bij het verkleinen van ongunstige duurzaamheid</w:t>
      </w:r>
      <w:r w:rsidR="00B90C17">
        <w:rPr>
          <w:color w:val="auto"/>
          <w:sz w:val="22"/>
          <w:szCs w:val="22"/>
        </w:rPr>
        <w:t>seffecten</w:t>
      </w:r>
      <w:r w:rsidR="00857838" w:rsidRPr="006C433A">
        <w:rPr>
          <w:color w:val="auto"/>
          <w:sz w:val="22"/>
          <w:szCs w:val="22"/>
        </w:rPr>
        <w:t>.</w:t>
      </w:r>
    </w:p>
    <w:p w:rsidR="00FD7307" w:rsidRPr="006C433A" w:rsidRDefault="00FD7307" w:rsidP="00FD7307">
      <w:pPr>
        <w:spacing w:line="240" w:lineRule="auto"/>
        <w:rPr>
          <w:color w:val="auto"/>
          <w:sz w:val="22"/>
          <w:szCs w:val="22"/>
        </w:rPr>
      </w:pPr>
    </w:p>
    <w:p w:rsidR="006A1E0F" w:rsidRPr="006C433A" w:rsidRDefault="006A1E0F" w:rsidP="00FD7307">
      <w:pPr>
        <w:spacing w:line="240" w:lineRule="auto"/>
        <w:rPr>
          <w:color w:val="auto"/>
          <w:sz w:val="22"/>
          <w:szCs w:val="22"/>
        </w:rPr>
      </w:pPr>
      <w:r w:rsidRPr="006C433A">
        <w:rPr>
          <w:color w:val="auto"/>
          <w:sz w:val="22"/>
          <w:szCs w:val="22"/>
        </w:rPr>
        <w:t>W</w:t>
      </w:r>
      <w:r w:rsidR="0035758B" w:rsidRPr="006C433A">
        <w:rPr>
          <w:color w:val="auto"/>
          <w:sz w:val="22"/>
          <w:szCs w:val="22"/>
        </w:rPr>
        <w:t xml:space="preserve">ij geloven dat we een beter resultaat voor onze cliënten kunnen behalen door actief engagement </w:t>
      </w:r>
      <w:r w:rsidR="002711F6" w:rsidRPr="006C433A">
        <w:rPr>
          <w:color w:val="auto"/>
          <w:sz w:val="22"/>
          <w:szCs w:val="22"/>
        </w:rPr>
        <w:t xml:space="preserve">bij het beleggingsproces. In ons beleggingsbeleid ligt de nadruk op ons vermogen om positieve verandering te bewerkstellingen door ons als </w:t>
      </w:r>
      <w:r w:rsidR="00423D7F">
        <w:rPr>
          <w:color w:val="auto"/>
          <w:sz w:val="22"/>
          <w:szCs w:val="22"/>
        </w:rPr>
        <w:t>actieve aandeelhouders</w:t>
      </w:r>
      <w:r w:rsidR="002711F6" w:rsidRPr="006C433A">
        <w:rPr>
          <w:color w:val="auto"/>
          <w:sz w:val="22"/>
          <w:szCs w:val="22"/>
        </w:rPr>
        <w:t xml:space="preserve"> op te stellen. Wij zijn overtuigd dat dit essentieel is voor het verbeteren van het beleggingsrendement voor onze cliënten op lange termijn</w:t>
      </w:r>
      <w:r w:rsidRPr="006C433A">
        <w:rPr>
          <w:color w:val="auto"/>
          <w:sz w:val="22"/>
          <w:szCs w:val="22"/>
        </w:rPr>
        <w:t xml:space="preserve">. </w:t>
      </w:r>
      <w:r w:rsidR="002711F6" w:rsidRPr="006C433A">
        <w:rPr>
          <w:color w:val="auto"/>
          <w:sz w:val="22"/>
          <w:szCs w:val="22"/>
        </w:rPr>
        <w:t xml:space="preserve">Het actief uitoefenen van de invloed die wij hebben als </w:t>
      </w:r>
      <w:r w:rsidR="003B0D7B">
        <w:rPr>
          <w:color w:val="auto"/>
          <w:sz w:val="22"/>
          <w:szCs w:val="22"/>
        </w:rPr>
        <w:t>belegg</w:t>
      </w:r>
      <w:r w:rsidR="002711F6" w:rsidRPr="006C433A">
        <w:rPr>
          <w:color w:val="auto"/>
          <w:sz w:val="22"/>
          <w:szCs w:val="22"/>
        </w:rPr>
        <w:t>er en vermogensbeheerder</w:t>
      </w:r>
      <w:r w:rsidR="004B390A">
        <w:rPr>
          <w:color w:val="auto"/>
          <w:sz w:val="22"/>
          <w:szCs w:val="22"/>
        </w:rPr>
        <w:t xml:space="preserve"> is onderdeel van onze verplichting t.o.v. van onze </w:t>
      </w:r>
      <w:proofErr w:type="spellStart"/>
      <w:r w:rsidR="004B390A">
        <w:rPr>
          <w:color w:val="auto"/>
          <w:sz w:val="22"/>
          <w:szCs w:val="22"/>
        </w:rPr>
        <w:t>clienten</w:t>
      </w:r>
      <w:proofErr w:type="spellEnd"/>
      <w:r w:rsidR="004B390A">
        <w:rPr>
          <w:color w:val="auto"/>
          <w:sz w:val="22"/>
          <w:szCs w:val="22"/>
        </w:rPr>
        <w:t xml:space="preserve"> en tevens onderdeel van onze doelstelling om duurzaam te ondernemen. </w:t>
      </w:r>
      <w:r w:rsidR="002711F6" w:rsidRPr="006C433A">
        <w:rPr>
          <w:color w:val="auto"/>
          <w:sz w:val="22"/>
          <w:szCs w:val="22"/>
        </w:rPr>
        <w:t xml:space="preserve">  </w:t>
      </w:r>
    </w:p>
    <w:p w:rsidR="00FD7307" w:rsidRPr="006C433A" w:rsidRDefault="00FD7307" w:rsidP="00FD7307">
      <w:pPr>
        <w:spacing w:line="240" w:lineRule="auto"/>
        <w:rPr>
          <w:color w:val="auto"/>
          <w:sz w:val="22"/>
          <w:szCs w:val="22"/>
        </w:rPr>
      </w:pPr>
    </w:p>
    <w:p w:rsidR="006A1E0F" w:rsidRPr="006C433A" w:rsidRDefault="006A1E0F" w:rsidP="00FD7307">
      <w:pPr>
        <w:spacing w:line="240" w:lineRule="auto"/>
        <w:rPr>
          <w:color w:val="auto"/>
          <w:sz w:val="22"/>
          <w:szCs w:val="22"/>
        </w:rPr>
      </w:pPr>
      <w:r w:rsidRPr="006C433A">
        <w:rPr>
          <w:color w:val="auto"/>
          <w:sz w:val="22"/>
          <w:szCs w:val="22"/>
        </w:rPr>
        <w:t>Acti</w:t>
      </w:r>
      <w:r w:rsidR="00E14021" w:rsidRPr="006C433A">
        <w:rPr>
          <w:color w:val="auto"/>
          <w:sz w:val="22"/>
          <w:szCs w:val="22"/>
        </w:rPr>
        <w:t xml:space="preserve">ef </w:t>
      </w:r>
      <w:r w:rsidR="00423D7F">
        <w:rPr>
          <w:color w:val="auto"/>
          <w:sz w:val="22"/>
          <w:szCs w:val="22"/>
        </w:rPr>
        <w:t>aandeelhouderschap</w:t>
      </w:r>
      <w:r w:rsidR="00E14021" w:rsidRPr="006C433A">
        <w:rPr>
          <w:color w:val="auto"/>
          <w:sz w:val="22"/>
          <w:szCs w:val="22"/>
        </w:rPr>
        <w:t xml:space="preserve"> houdt ook in dat we beleggingen monitoren, milieu-, sociale en </w:t>
      </w:r>
      <w:proofErr w:type="spellStart"/>
      <w:r w:rsidR="00E14021" w:rsidRPr="006C433A">
        <w:rPr>
          <w:color w:val="auto"/>
          <w:sz w:val="22"/>
          <w:szCs w:val="22"/>
        </w:rPr>
        <w:t>governance</w:t>
      </w:r>
      <w:proofErr w:type="spellEnd"/>
      <w:r w:rsidR="00E14021" w:rsidRPr="006C433A">
        <w:rPr>
          <w:color w:val="auto"/>
          <w:sz w:val="22"/>
          <w:szCs w:val="22"/>
        </w:rPr>
        <w:t xml:space="preserve"> (ESG)-a</w:t>
      </w:r>
      <w:r w:rsidR="003B0D7B">
        <w:rPr>
          <w:color w:val="auto"/>
          <w:sz w:val="22"/>
          <w:szCs w:val="22"/>
        </w:rPr>
        <w:t>specten</w:t>
      </w:r>
      <w:r w:rsidR="00A505D2" w:rsidRPr="006C433A">
        <w:rPr>
          <w:color w:val="auto"/>
          <w:sz w:val="22"/>
          <w:szCs w:val="22"/>
        </w:rPr>
        <w:t>, strategische problemen of kansen voor verbetering identificeren, samenwerken met managementteams of vermogensbeheerders</w:t>
      </w:r>
      <w:r w:rsidRPr="006C433A">
        <w:rPr>
          <w:color w:val="auto"/>
          <w:sz w:val="22"/>
          <w:szCs w:val="22"/>
        </w:rPr>
        <w:t xml:space="preserve">, </w:t>
      </w:r>
      <w:r w:rsidR="00A505D2" w:rsidRPr="006C433A">
        <w:rPr>
          <w:color w:val="auto"/>
          <w:sz w:val="22"/>
          <w:szCs w:val="22"/>
        </w:rPr>
        <w:t xml:space="preserve">ons stemrecht uitoefenen bij algemene aandeelhoudersvergaderingen en </w:t>
      </w:r>
      <w:r w:rsidR="00387312">
        <w:rPr>
          <w:color w:val="auto"/>
          <w:sz w:val="22"/>
          <w:szCs w:val="22"/>
        </w:rPr>
        <w:t>andere inspanningen</w:t>
      </w:r>
      <w:r w:rsidR="00A505D2" w:rsidRPr="006C433A">
        <w:rPr>
          <w:color w:val="auto"/>
          <w:sz w:val="22"/>
          <w:szCs w:val="22"/>
        </w:rPr>
        <w:t xml:space="preserve"> om positieve verandering op de lange termijn voor onze cliënten en de wereld te bewerkstelligen.</w:t>
      </w:r>
      <w:r w:rsidRPr="006C433A">
        <w:rPr>
          <w:color w:val="auto"/>
          <w:sz w:val="22"/>
          <w:szCs w:val="22"/>
        </w:rPr>
        <w:t xml:space="preserve"> </w:t>
      </w:r>
    </w:p>
    <w:p w:rsidR="00FD7307" w:rsidRPr="006C433A" w:rsidRDefault="00FD7307" w:rsidP="00FD7307">
      <w:pPr>
        <w:spacing w:line="240" w:lineRule="auto"/>
        <w:rPr>
          <w:color w:val="auto"/>
          <w:sz w:val="22"/>
          <w:szCs w:val="22"/>
        </w:rPr>
      </w:pPr>
    </w:p>
    <w:p w:rsidR="006A1E0F" w:rsidRPr="006C433A" w:rsidRDefault="00A505D2" w:rsidP="00FD7307">
      <w:pPr>
        <w:spacing w:line="240" w:lineRule="auto"/>
        <w:rPr>
          <w:color w:val="auto"/>
          <w:sz w:val="22"/>
          <w:szCs w:val="22"/>
        </w:rPr>
      </w:pPr>
      <w:r w:rsidRPr="006C433A">
        <w:rPr>
          <w:color w:val="auto"/>
          <w:sz w:val="22"/>
          <w:szCs w:val="22"/>
        </w:rPr>
        <w:t xml:space="preserve">Omdat we het vermogen van onze cliënten ook via andere beheerders beleggen, hanteren we voor hen dezelfde hoge standaard voor wat betreft actief </w:t>
      </w:r>
      <w:r w:rsidR="00423D7F">
        <w:rPr>
          <w:color w:val="auto"/>
          <w:sz w:val="22"/>
          <w:szCs w:val="22"/>
        </w:rPr>
        <w:t>aandeelhouderschap</w:t>
      </w:r>
      <w:r w:rsidRPr="006C433A">
        <w:rPr>
          <w:color w:val="auto"/>
          <w:sz w:val="22"/>
          <w:szCs w:val="22"/>
        </w:rPr>
        <w:t xml:space="preserve">, en ook van deze beheerders verwachten we dat zij zich opstellen als </w:t>
      </w:r>
      <w:r w:rsidR="00423D7F">
        <w:rPr>
          <w:color w:val="auto"/>
          <w:sz w:val="22"/>
          <w:szCs w:val="22"/>
        </w:rPr>
        <w:t>actieve aandeelhouders</w:t>
      </w:r>
      <w:r w:rsidRPr="006C433A">
        <w:rPr>
          <w:color w:val="auto"/>
          <w:sz w:val="22"/>
          <w:szCs w:val="22"/>
        </w:rPr>
        <w:t xml:space="preserve"> namens onze cliënten.</w:t>
      </w:r>
      <w:r w:rsidR="006A1E0F" w:rsidRPr="006C433A">
        <w:rPr>
          <w:color w:val="auto"/>
          <w:sz w:val="22"/>
          <w:szCs w:val="22"/>
        </w:rPr>
        <w:t xml:space="preserve"> </w:t>
      </w:r>
    </w:p>
    <w:p w:rsidR="006A1E0F" w:rsidRPr="006C433A" w:rsidRDefault="006A1E0F" w:rsidP="006A1E0F">
      <w:pPr>
        <w:spacing w:line="240" w:lineRule="auto"/>
      </w:pPr>
    </w:p>
    <w:p w:rsidR="006A1E0F" w:rsidRPr="006C433A" w:rsidRDefault="008914FE" w:rsidP="00FD7307">
      <w:pPr>
        <w:rPr>
          <w:b/>
          <w:bCs/>
          <w:color w:val="222222" w:themeColor="text1"/>
          <w:sz w:val="22"/>
          <w:szCs w:val="22"/>
        </w:rPr>
      </w:pPr>
      <w:r w:rsidRPr="006C433A">
        <w:rPr>
          <w:b/>
          <w:bCs/>
          <w:color w:val="222222" w:themeColor="text1"/>
          <w:sz w:val="22"/>
          <w:szCs w:val="22"/>
        </w:rPr>
        <w:t>Keuze voor collectief engagement, gebruik van</w:t>
      </w:r>
      <w:r w:rsidR="006A1E0F" w:rsidRPr="006C433A">
        <w:rPr>
          <w:b/>
          <w:bCs/>
          <w:color w:val="222222" w:themeColor="text1"/>
          <w:sz w:val="22"/>
          <w:szCs w:val="22"/>
        </w:rPr>
        <w:t xml:space="preserve"> expertise</w:t>
      </w:r>
    </w:p>
    <w:p w:rsidR="006A1E0F" w:rsidRPr="006C433A" w:rsidRDefault="00967ABB" w:rsidP="006A1E0F">
      <w:pPr>
        <w:spacing w:line="240" w:lineRule="auto"/>
        <w:rPr>
          <w:color w:val="auto"/>
          <w:sz w:val="22"/>
          <w:szCs w:val="22"/>
        </w:rPr>
      </w:pPr>
      <w:r w:rsidRPr="006C433A">
        <w:rPr>
          <w:color w:val="auto"/>
          <w:sz w:val="22"/>
          <w:szCs w:val="22"/>
        </w:rPr>
        <w:t xml:space="preserve">Omdat </w:t>
      </w:r>
      <w:r w:rsidR="006A1E0F" w:rsidRPr="006C433A">
        <w:rPr>
          <w:color w:val="auto"/>
          <w:sz w:val="22"/>
          <w:szCs w:val="22"/>
        </w:rPr>
        <w:t xml:space="preserve">Quintet </w:t>
      </w:r>
      <w:r w:rsidRPr="006C433A">
        <w:rPr>
          <w:color w:val="auto"/>
          <w:sz w:val="22"/>
          <w:szCs w:val="22"/>
        </w:rPr>
        <w:t xml:space="preserve">een diversiteit aan cliënten vertegenwoordigt met een diversiteit aan portefeuilles verspreid over het beleggingsuniversum, beleggen we in een breed scala aan ondernemingen. Omdat het hierbij vaak om grote bedrijven gaat, </w:t>
      </w:r>
      <w:r w:rsidR="00850032">
        <w:rPr>
          <w:color w:val="auto"/>
          <w:sz w:val="22"/>
          <w:szCs w:val="22"/>
        </w:rPr>
        <w:t xml:space="preserve">zijn </w:t>
      </w:r>
      <w:r w:rsidRPr="006C433A">
        <w:rPr>
          <w:color w:val="auto"/>
          <w:sz w:val="22"/>
          <w:szCs w:val="22"/>
        </w:rPr>
        <w:t xml:space="preserve">onze directe beleggingen </w:t>
      </w:r>
      <w:r w:rsidR="00850032">
        <w:rPr>
          <w:color w:val="auto"/>
          <w:sz w:val="22"/>
          <w:szCs w:val="22"/>
        </w:rPr>
        <w:t>vaak klein</w:t>
      </w:r>
      <w:r w:rsidRPr="006C433A">
        <w:rPr>
          <w:color w:val="auto"/>
          <w:sz w:val="22"/>
          <w:szCs w:val="22"/>
        </w:rPr>
        <w:t xml:space="preserve"> </w:t>
      </w:r>
      <w:r w:rsidR="003B0D7B">
        <w:rPr>
          <w:color w:val="auto"/>
          <w:sz w:val="22"/>
          <w:szCs w:val="22"/>
        </w:rPr>
        <w:t>in verhouding tot</w:t>
      </w:r>
      <w:r w:rsidRPr="006C433A">
        <w:rPr>
          <w:color w:val="auto"/>
          <w:sz w:val="22"/>
          <w:szCs w:val="22"/>
        </w:rPr>
        <w:t xml:space="preserve"> de grootte van die bedrijven. Voor effectief engagement met deze bedrijven bi</w:t>
      </w:r>
      <w:r w:rsidR="003B0D7B">
        <w:rPr>
          <w:color w:val="auto"/>
          <w:sz w:val="22"/>
          <w:szCs w:val="22"/>
        </w:rPr>
        <w:t>e</w:t>
      </w:r>
      <w:r w:rsidRPr="006C433A">
        <w:rPr>
          <w:color w:val="auto"/>
          <w:sz w:val="22"/>
          <w:szCs w:val="22"/>
        </w:rPr>
        <w:t xml:space="preserve">dt volgens ons collectief engagement een betere kans op resultaat dan wanneer wij alleen te werk zouden gaan. Wij hebben daarom gespecialiseerde externe dienstverleners aangesteld om het engagement uit te voeren en </w:t>
      </w:r>
      <w:r w:rsidRPr="006C433A">
        <w:rPr>
          <w:color w:val="auto"/>
          <w:sz w:val="22"/>
          <w:szCs w:val="22"/>
        </w:rPr>
        <w:lastRenderedPageBreak/>
        <w:t xml:space="preserve">namens ons het stemrecht uit te oefenen. Wanneer collectief engagement niet praktisch is, kunnen we zelf direct </w:t>
      </w:r>
      <w:r w:rsidR="00850032">
        <w:rPr>
          <w:color w:val="auto"/>
          <w:sz w:val="22"/>
          <w:szCs w:val="22"/>
        </w:rPr>
        <w:t xml:space="preserve">de dialoog aangaan </w:t>
      </w:r>
      <w:r w:rsidRPr="006C433A">
        <w:rPr>
          <w:color w:val="auto"/>
          <w:sz w:val="22"/>
          <w:szCs w:val="22"/>
        </w:rPr>
        <w:t xml:space="preserve">met de ondernemingen waarin we beleggen. </w:t>
      </w:r>
    </w:p>
    <w:p w:rsidR="006A1E0F" w:rsidRPr="006C433A" w:rsidRDefault="006A1E0F" w:rsidP="006A1E0F">
      <w:pPr>
        <w:spacing w:line="240" w:lineRule="auto"/>
        <w:rPr>
          <w:color w:val="auto"/>
          <w:sz w:val="22"/>
          <w:szCs w:val="22"/>
        </w:rPr>
      </w:pPr>
    </w:p>
    <w:p w:rsidR="006A1E0F" w:rsidRPr="006C433A" w:rsidRDefault="00967ABB" w:rsidP="00FD7307">
      <w:pPr>
        <w:rPr>
          <w:b/>
          <w:bCs/>
          <w:color w:val="222222" w:themeColor="text1"/>
          <w:sz w:val="22"/>
          <w:szCs w:val="22"/>
        </w:rPr>
      </w:pPr>
      <w:r w:rsidRPr="006C433A">
        <w:rPr>
          <w:b/>
          <w:bCs/>
          <w:color w:val="222222" w:themeColor="text1"/>
          <w:sz w:val="22"/>
          <w:szCs w:val="22"/>
        </w:rPr>
        <w:t>Prioriteiten e</w:t>
      </w:r>
      <w:r w:rsidR="006A1E0F" w:rsidRPr="006C433A">
        <w:rPr>
          <w:b/>
          <w:bCs/>
          <w:color w:val="222222" w:themeColor="text1"/>
          <w:sz w:val="22"/>
          <w:szCs w:val="22"/>
        </w:rPr>
        <w:t xml:space="preserve">ngagement </w:t>
      </w:r>
    </w:p>
    <w:p w:rsidR="006A1E0F" w:rsidRPr="006C433A" w:rsidRDefault="00967ABB" w:rsidP="00FD7307">
      <w:pPr>
        <w:spacing w:line="240" w:lineRule="auto"/>
        <w:rPr>
          <w:color w:val="auto"/>
          <w:sz w:val="22"/>
          <w:szCs w:val="22"/>
        </w:rPr>
      </w:pPr>
      <w:r w:rsidRPr="006C433A">
        <w:rPr>
          <w:color w:val="auto"/>
          <w:sz w:val="22"/>
          <w:szCs w:val="22"/>
        </w:rPr>
        <w:t xml:space="preserve">De belangrijkste focus van </w:t>
      </w:r>
      <w:proofErr w:type="spellStart"/>
      <w:r w:rsidRPr="006C433A">
        <w:rPr>
          <w:color w:val="auto"/>
          <w:sz w:val="22"/>
          <w:szCs w:val="22"/>
        </w:rPr>
        <w:t>Quintets</w:t>
      </w:r>
      <w:proofErr w:type="spellEnd"/>
      <w:r w:rsidRPr="006C433A">
        <w:rPr>
          <w:color w:val="auto"/>
          <w:sz w:val="22"/>
          <w:szCs w:val="22"/>
        </w:rPr>
        <w:t xml:space="preserve"> engagement ligt op het </w:t>
      </w:r>
      <w:r w:rsidR="0022262C" w:rsidRPr="006C433A">
        <w:rPr>
          <w:color w:val="auto"/>
          <w:sz w:val="22"/>
          <w:szCs w:val="22"/>
        </w:rPr>
        <w:t xml:space="preserve">aanpakken van de belangrijkste risico’s, uitdagingen en mogelijkheden van ondernemingen, waarbij milieu-, sociale, </w:t>
      </w:r>
      <w:proofErr w:type="spellStart"/>
      <w:r w:rsidR="0022262C" w:rsidRPr="006C433A">
        <w:rPr>
          <w:color w:val="auto"/>
          <w:sz w:val="22"/>
          <w:szCs w:val="22"/>
        </w:rPr>
        <w:t>governance</w:t>
      </w:r>
      <w:proofErr w:type="spellEnd"/>
      <w:r w:rsidR="0022262C" w:rsidRPr="006C433A">
        <w:rPr>
          <w:color w:val="auto"/>
          <w:sz w:val="22"/>
          <w:szCs w:val="22"/>
        </w:rPr>
        <w:t xml:space="preserve">-, strategische, risico- en communicatieaspecten worden </w:t>
      </w:r>
      <w:r w:rsidR="00AE7CDE" w:rsidRPr="006C433A">
        <w:rPr>
          <w:color w:val="auto"/>
          <w:sz w:val="22"/>
          <w:szCs w:val="22"/>
        </w:rPr>
        <w:t>meegenomen. Ons uiteindelijke doel is het creëren van waarde voor beleggers, de onderneming, de mens en de planeet.</w:t>
      </w:r>
      <w:r w:rsidR="006A1E0F" w:rsidRPr="006C433A">
        <w:rPr>
          <w:color w:val="auto"/>
          <w:sz w:val="22"/>
          <w:szCs w:val="22"/>
        </w:rPr>
        <w:t xml:space="preserve"> </w:t>
      </w:r>
    </w:p>
    <w:p w:rsidR="00FD7307" w:rsidRPr="006C433A" w:rsidRDefault="00FD7307" w:rsidP="00FD7307">
      <w:pPr>
        <w:spacing w:line="240" w:lineRule="auto"/>
        <w:rPr>
          <w:color w:val="auto"/>
          <w:sz w:val="22"/>
          <w:szCs w:val="22"/>
        </w:rPr>
      </w:pPr>
    </w:p>
    <w:p w:rsidR="006A1E0F" w:rsidRPr="006C433A" w:rsidRDefault="006A1E0F" w:rsidP="00FD7307">
      <w:pPr>
        <w:spacing w:line="240" w:lineRule="auto"/>
        <w:rPr>
          <w:color w:val="auto"/>
          <w:sz w:val="22"/>
          <w:szCs w:val="22"/>
        </w:rPr>
      </w:pPr>
      <w:r w:rsidRPr="006C433A">
        <w:rPr>
          <w:color w:val="auto"/>
          <w:sz w:val="22"/>
          <w:szCs w:val="22"/>
        </w:rPr>
        <w:t xml:space="preserve">Quintet </w:t>
      </w:r>
      <w:r w:rsidR="00AE7CDE" w:rsidRPr="006C433A">
        <w:rPr>
          <w:color w:val="auto"/>
          <w:sz w:val="22"/>
          <w:szCs w:val="22"/>
        </w:rPr>
        <w:t>werkt voor engagement samen met haar partner</w:t>
      </w:r>
      <w:r w:rsidRPr="006C433A">
        <w:rPr>
          <w:color w:val="auto"/>
          <w:sz w:val="22"/>
          <w:szCs w:val="22"/>
        </w:rPr>
        <w:t xml:space="preserve"> </w:t>
      </w:r>
      <w:proofErr w:type="spellStart"/>
      <w:r w:rsidRPr="006C433A">
        <w:rPr>
          <w:color w:val="auto"/>
          <w:sz w:val="22"/>
          <w:szCs w:val="22"/>
        </w:rPr>
        <w:t>Equity</w:t>
      </w:r>
      <w:proofErr w:type="spellEnd"/>
      <w:r w:rsidRPr="006C433A">
        <w:rPr>
          <w:color w:val="auto"/>
          <w:sz w:val="22"/>
          <w:szCs w:val="22"/>
        </w:rPr>
        <w:t xml:space="preserve"> </w:t>
      </w:r>
      <w:proofErr w:type="spellStart"/>
      <w:r w:rsidRPr="006C433A">
        <w:rPr>
          <w:color w:val="auto"/>
          <w:sz w:val="22"/>
          <w:szCs w:val="22"/>
        </w:rPr>
        <w:t>Ownership</w:t>
      </w:r>
      <w:proofErr w:type="spellEnd"/>
      <w:r w:rsidRPr="006C433A">
        <w:rPr>
          <w:color w:val="auto"/>
          <w:sz w:val="22"/>
          <w:szCs w:val="22"/>
        </w:rPr>
        <w:t xml:space="preserve"> Services (EOS) </w:t>
      </w:r>
      <w:r w:rsidR="00AE7CDE" w:rsidRPr="006C433A">
        <w:rPr>
          <w:color w:val="auto"/>
          <w:sz w:val="22"/>
          <w:szCs w:val="22"/>
        </w:rPr>
        <w:t>bij</w:t>
      </w:r>
      <w:r w:rsidRPr="006C433A">
        <w:rPr>
          <w:color w:val="auto"/>
          <w:sz w:val="22"/>
          <w:szCs w:val="22"/>
        </w:rPr>
        <w:t xml:space="preserve"> Federated Hermes </w:t>
      </w:r>
      <w:r w:rsidR="00AE7CDE" w:rsidRPr="006C433A">
        <w:rPr>
          <w:color w:val="auto"/>
          <w:sz w:val="22"/>
          <w:szCs w:val="22"/>
        </w:rPr>
        <w:t xml:space="preserve">om zo </w:t>
      </w:r>
      <w:r w:rsidR="006F6786">
        <w:rPr>
          <w:color w:val="auto"/>
          <w:sz w:val="22"/>
          <w:szCs w:val="22"/>
        </w:rPr>
        <w:t xml:space="preserve">bijzondere </w:t>
      </w:r>
      <w:r w:rsidR="00AE7CDE" w:rsidRPr="006C433A">
        <w:rPr>
          <w:color w:val="auto"/>
          <w:sz w:val="22"/>
          <w:szCs w:val="22"/>
        </w:rPr>
        <w:t xml:space="preserve">aandacht te kunnen geven aan ondernemingen die de VN Global Compact Principes </w:t>
      </w:r>
      <w:r w:rsidR="006F6786">
        <w:rPr>
          <w:color w:val="auto"/>
          <w:sz w:val="22"/>
          <w:szCs w:val="22"/>
        </w:rPr>
        <w:t>overtreden</w:t>
      </w:r>
      <w:r w:rsidR="00AE7CDE" w:rsidRPr="006C433A">
        <w:rPr>
          <w:color w:val="auto"/>
          <w:sz w:val="22"/>
          <w:szCs w:val="22"/>
        </w:rPr>
        <w:t>, of betrokken zijn geweest bij ingrijpende ESG-controverses.</w:t>
      </w:r>
      <w:r w:rsidRPr="006C433A">
        <w:rPr>
          <w:color w:val="auto"/>
          <w:sz w:val="22"/>
          <w:szCs w:val="22"/>
        </w:rPr>
        <w:t xml:space="preserve"> </w:t>
      </w:r>
      <w:r w:rsidR="00D50055" w:rsidRPr="006C433A">
        <w:rPr>
          <w:color w:val="auto"/>
          <w:sz w:val="22"/>
          <w:szCs w:val="22"/>
        </w:rPr>
        <w:t xml:space="preserve">Op dit moment ligt de prioriteit van ons engagement bij de belangrijkste </w:t>
      </w:r>
      <w:r w:rsidR="002D4B69">
        <w:rPr>
          <w:color w:val="auto"/>
          <w:sz w:val="22"/>
          <w:szCs w:val="22"/>
        </w:rPr>
        <w:t xml:space="preserve">bronnen </w:t>
      </w:r>
      <w:r w:rsidR="00D50055" w:rsidRPr="006C433A">
        <w:rPr>
          <w:color w:val="auto"/>
          <w:sz w:val="22"/>
          <w:szCs w:val="22"/>
        </w:rPr>
        <w:t xml:space="preserve">van </w:t>
      </w:r>
      <w:r w:rsidR="00D50055" w:rsidRPr="006F6786">
        <w:rPr>
          <w:color w:val="auto"/>
          <w:sz w:val="22"/>
          <w:szCs w:val="22"/>
        </w:rPr>
        <w:t>lange</w:t>
      </w:r>
      <w:r w:rsidR="003C23CA">
        <w:rPr>
          <w:color w:val="auto"/>
          <w:sz w:val="22"/>
          <w:szCs w:val="22"/>
        </w:rPr>
        <w:t xml:space="preserve"> </w:t>
      </w:r>
      <w:r w:rsidR="00D50055" w:rsidRPr="006F6786">
        <w:rPr>
          <w:color w:val="auto"/>
          <w:sz w:val="22"/>
          <w:szCs w:val="22"/>
        </w:rPr>
        <w:t>termijn</w:t>
      </w:r>
      <w:r w:rsidR="006C433A" w:rsidRPr="006F6786">
        <w:rPr>
          <w:color w:val="auto"/>
          <w:sz w:val="22"/>
          <w:szCs w:val="22"/>
        </w:rPr>
        <w:t>-</w:t>
      </w:r>
      <w:r w:rsidR="00D50055" w:rsidRPr="006F6786">
        <w:rPr>
          <w:color w:val="auto"/>
          <w:sz w:val="22"/>
          <w:szCs w:val="22"/>
        </w:rPr>
        <w:t>waard</w:t>
      </w:r>
      <w:r w:rsidR="004B390A">
        <w:rPr>
          <w:color w:val="auto"/>
          <w:sz w:val="22"/>
          <w:szCs w:val="22"/>
        </w:rPr>
        <w:t xml:space="preserve">e </w:t>
      </w:r>
      <w:r w:rsidR="002D4B69">
        <w:rPr>
          <w:color w:val="auto"/>
          <w:sz w:val="22"/>
          <w:szCs w:val="22"/>
        </w:rPr>
        <w:t>creatie</w:t>
      </w:r>
      <w:r w:rsidR="00D50055" w:rsidRPr="006F6786">
        <w:rPr>
          <w:color w:val="auto"/>
          <w:sz w:val="22"/>
          <w:szCs w:val="22"/>
        </w:rPr>
        <w:t xml:space="preserve">, met </w:t>
      </w:r>
      <w:r w:rsidR="006F6786">
        <w:rPr>
          <w:color w:val="auto"/>
          <w:sz w:val="22"/>
          <w:szCs w:val="22"/>
        </w:rPr>
        <w:t xml:space="preserve">als </w:t>
      </w:r>
      <w:r w:rsidR="00D50055" w:rsidRPr="006F6786">
        <w:rPr>
          <w:color w:val="auto"/>
          <w:sz w:val="22"/>
          <w:szCs w:val="22"/>
        </w:rPr>
        <w:t xml:space="preserve">vier hoofdthema’s: klimaatverandering, mensen- en arbeidsrechten, menselijk kapitaalmanagement en </w:t>
      </w:r>
      <w:r w:rsidR="00AF16C2" w:rsidRPr="006F6786">
        <w:rPr>
          <w:color w:val="auto"/>
          <w:sz w:val="22"/>
          <w:szCs w:val="22"/>
        </w:rPr>
        <w:t>effectiviteit van het bestuur</w:t>
      </w:r>
      <w:r w:rsidR="00D50055" w:rsidRPr="006F6786">
        <w:rPr>
          <w:color w:val="auto"/>
          <w:sz w:val="22"/>
          <w:szCs w:val="22"/>
        </w:rPr>
        <w:t>.</w:t>
      </w:r>
      <w:r w:rsidRPr="006C433A">
        <w:rPr>
          <w:color w:val="auto"/>
          <w:sz w:val="22"/>
          <w:szCs w:val="22"/>
        </w:rPr>
        <w:t xml:space="preserve"> </w:t>
      </w:r>
    </w:p>
    <w:p w:rsidR="00FD7307" w:rsidRPr="006C433A" w:rsidRDefault="00FD7307" w:rsidP="00FD7307">
      <w:pPr>
        <w:spacing w:line="240" w:lineRule="auto"/>
        <w:rPr>
          <w:color w:val="auto"/>
          <w:sz w:val="22"/>
          <w:szCs w:val="22"/>
        </w:rPr>
      </w:pPr>
    </w:p>
    <w:p w:rsidR="006A1E0F" w:rsidRPr="006C433A" w:rsidRDefault="00ED2977" w:rsidP="00FD7307">
      <w:pPr>
        <w:spacing w:line="240" w:lineRule="auto"/>
        <w:rPr>
          <w:color w:val="auto"/>
          <w:sz w:val="22"/>
          <w:szCs w:val="22"/>
        </w:rPr>
      </w:pPr>
      <w:r w:rsidRPr="006C433A">
        <w:rPr>
          <w:color w:val="auto"/>
          <w:sz w:val="22"/>
          <w:szCs w:val="22"/>
        </w:rPr>
        <w:t xml:space="preserve">Klimaatverandering is een </w:t>
      </w:r>
      <w:r w:rsidR="006F6786">
        <w:rPr>
          <w:color w:val="auto"/>
          <w:sz w:val="22"/>
          <w:szCs w:val="22"/>
        </w:rPr>
        <w:t>doorlop</w:t>
      </w:r>
      <w:r w:rsidRPr="006C433A">
        <w:rPr>
          <w:color w:val="auto"/>
          <w:sz w:val="22"/>
          <w:szCs w:val="22"/>
        </w:rPr>
        <w:t>ende prioriteit. Quintet is lid van</w:t>
      </w:r>
      <w:r w:rsidR="006A1E0F" w:rsidRPr="006C433A">
        <w:rPr>
          <w:color w:val="auto"/>
          <w:sz w:val="22"/>
          <w:szCs w:val="22"/>
        </w:rPr>
        <w:t xml:space="preserve"> </w:t>
      </w:r>
      <w:proofErr w:type="spellStart"/>
      <w:r w:rsidR="006A1E0F" w:rsidRPr="006C433A">
        <w:rPr>
          <w:color w:val="auto"/>
          <w:sz w:val="22"/>
          <w:szCs w:val="22"/>
        </w:rPr>
        <w:t>Climate</w:t>
      </w:r>
      <w:proofErr w:type="spellEnd"/>
      <w:r w:rsidR="006A1E0F" w:rsidRPr="006C433A">
        <w:rPr>
          <w:color w:val="auto"/>
          <w:sz w:val="22"/>
          <w:szCs w:val="22"/>
        </w:rPr>
        <w:t xml:space="preserve"> Action 100+, </w:t>
      </w:r>
      <w:r w:rsidRPr="006C433A">
        <w:rPr>
          <w:color w:val="auto"/>
          <w:sz w:val="22"/>
          <w:szCs w:val="22"/>
        </w:rPr>
        <w:t xml:space="preserve">een engagementinitiatief van samenwerkende investeerders dat ernaar streeft de ondernemingen die de grootste uitstoot van broeikasgassen (GHG) produceren </w:t>
      </w:r>
      <w:r w:rsidR="006F6786">
        <w:rPr>
          <w:color w:val="auto"/>
          <w:sz w:val="22"/>
          <w:szCs w:val="22"/>
        </w:rPr>
        <w:t xml:space="preserve">aan te moedigen </w:t>
      </w:r>
      <w:r w:rsidRPr="006C433A">
        <w:rPr>
          <w:color w:val="auto"/>
          <w:sz w:val="22"/>
          <w:szCs w:val="22"/>
        </w:rPr>
        <w:t xml:space="preserve">maatregelen te nemen om die uitstoot te verminderen. Wij geloven dat dit een logische stap is om onze planeet te beschermen, omdat we </w:t>
      </w:r>
      <w:r w:rsidR="006F6786">
        <w:rPr>
          <w:color w:val="auto"/>
          <w:sz w:val="22"/>
          <w:szCs w:val="22"/>
        </w:rPr>
        <w:t>ons bewust zijn van de invloed van</w:t>
      </w:r>
      <w:r w:rsidRPr="006C433A">
        <w:rPr>
          <w:color w:val="auto"/>
          <w:sz w:val="22"/>
          <w:szCs w:val="22"/>
        </w:rPr>
        <w:t xml:space="preserve"> </w:t>
      </w:r>
      <w:r w:rsidR="0093483D" w:rsidRPr="006C433A">
        <w:rPr>
          <w:color w:val="auto"/>
          <w:sz w:val="22"/>
          <w:szCs w:val="22"/>
        </w:rPr>
        <w:t>klimaatrisico</w:t>
      </w:r>
      <w:r w:rsidR="006F6786">
        <w:rPr>
          <w:color w:val="auto"/>
          <w:sz w:val="22"/>
          <w:szCs w:val="22"/>
        </w:rPr>
        <w:t>’s</w:t>
      </w:r>
      <w:r w:rsidR="0093483D" w:rsidRPr="006C433A">
        <w:rPr>
          <w:color w:val="auto"/>
          <w:sz w:val="22"/>
          <w:szCs w:val="22"/>
        </w:rPr>
        <w:t xml:space="preserve"> op onze beleggingen. De beleggers die meedoen aan </w:t>
      </w:r>
      <w:proofErr w:type="spellStart"/>
      <w:r w:rsidR="006A1E0F" w:rsidRPr="006C433A">
        <w:rPr>
          <w:color w:val="auto"/>
          <w:sz w:val="22"/>
          <w:szCs w:val="22"/>
        </w:rPr>
        <w:t>Climate</w:t>
      </w:r>
      <w:proofErr w:type="spellEnd"/>
      <w:r w:rsidR="006A1E0F" w:rsidRPr="006C433A">
        <w:rPr>
          <w:color w:val="auto"/>
          <w:sz w:val="22"/>
          <w:szCs w:val="22"/>
        </w:rPr>
        <w:t xml:space="preserve"> Action 100+ </w:t>
      </w:r>
      <w:r w:rsidR="0093483D" w:rsidRPr="006C433A">
        <w:rPr>
          <w:color w:val="auto"/>
          <w:sz w:val="22"/>
          <w:szCs w:val="22"/>
        </w:rPr>
        <w:t>gaan in gesprek met de 100 ondernemingen met een “structureel hoge uitstoot” en nog 60 andere ondernemingen die een belangrijke rol kunnen spelen in de overgang naar een klimaat</w:t>
      </w:r>
      <w:r w:rsidR="003C23CA">
        <w:rPr>
          <w:color w:val="auto"/>
          <w:sz w:val="22"/>
          <w:szCs w:val="22"/>
        </w:rPr>
        <w:t xml:space="preserve"> </w:t>
      </w:r>
      <w:r w:rsidR="0093483D" w:rsidRPr="006C433A">
        <w:rPr>
          <w:color w:val="auto"/>
          <w:sz w:val="22"/>
          <w:szCs w:val="22"/>
        </w:rPr>
        <w:t>neutrale economie</w:t>
      </w:r>
      <w:r w:rsidR="006A1E0F" w:rsidRPr="006C433A">
        <w:rPr>
          <w:color w:val="auto"/>
          <w:sz w:val="22"/>
          <w:szCs w:val="22"/>
        </w:rPr>
        <w:t>.</w:t>
      </w:r>
    </w:p>
    <w:p w:rsidR="00FD7307" w:rsidRPr="006C433A" w:rsidRDefault="00FD7307" w:rsidP="00FD7307">
      <w:pPr>
        <w:spacing w:line="240" w:lineRule="auto"/>
        <w:rPr>
          <w:color w:val="auto"/>
          <w:sz w:val="22"/>
          <w:szCs w:val="22"/>
        </w:rPr>
      </w:pPr>
    </w:p>
    <w:p w:rsidR="006A1E0F" w:rsidRPr="006C433A" w:rsidRDefault="006A1E0F" w:rsidP="00FD7307">
      <w:pPr>
        <w:spacing w:line="240" w:lineRule="auto"/>
        <w:rPr>
          <w:color w:val="auto"/>
          <w:sz w:val="22"/>
          <w:szCs w:val="22"/>
        </w:rPr>
      </w:pPr>
      <w:r w:rsidRPr="006C433A">
        <w:rPr>
          <w:color w:val="auto"/>
          <w:sz w:val="22"/>
          <w:szCs w:val="22"/>
        </w:rPr>
        <w:t>E</w:t>
      </w:r>
      <w:r w:rsidR="0093483D" w:rsidRPr="006C433A">
        <w:rPr>
          <w:color w:val="auto"/>
          <w:sz w:val="22"/>
          <w:szCs w:val="22"/>
        </w:rPr>
        <w:t xml:space="preserve">lk jaar worden de prioriteiten opnieuw onder de loep gelegd, en dragen we inzichten en prioriteiten bij ten behoeve van de bepaling van </w:t>
      </w:r>
      <w:r w:rsidR="006F6786">
        <w:rPr>
          <w:color w:val="auto"/>
          <w:sz w:val="22"/>
          <w:szCs w:val="22"/>
        </w:rPr>
        <w:t xml:space="preserve">de </w:t>
      </w:r>
      <w:r w:rsidR="0093483D" w:rsidRPr="006C433A">
        <w:rPr>
          <w:color w:val="auto"/>
          <w:sz w:val="22"/>
          <w:szCs w:val="22"/>
        </w:rPr>
        <w:t>procedure met EOS.</w:t>
      </w:r>
      <w:r w:rsidRPr="006C433A">
        <w:rPr>
          <w:color w:val="auto"/>
          <w:sz w:val="22"/>
          <w:szCs w:val="22"/>
        </w:rPr>
        <w:t xml:space="preserve"> </w:t>
      </w:r>
    </w:p>
    <w:p w:rsidR="006A1E0F" w:rsidRPr="006C433A" w:rsidRDefault="006A1E0F" w:rsidP="006A1E0F">
      <w:pPr>
        <w:autoSpaceDE w:val="0"/>
        <w:autoSpaceDN w:val="0"/>
        <w:adjustRightInd w:val="0"/>
        <w:spacing w:line="240" w:lineRule="auto"/>
        <w:rPr>
          <w:color w:val="000000"/>
        </w:rPr>
      </w:pPr>
    </w:p>
    <w:p w:rsidR="006A1E0F" w:rsidRPr="006C433A" w:rsidRDefault="006A1E0F" w:rsidP="001F0E70">
      <w:pPr>
        <w:keepNext/>
        <w:rPr>
          <w:b/>
          <w:bCs/>
          <w:color w:val="222222" w:themeColor="text1"/>
          <w:sz w:val="22"/>
          <w:szCs w:val="22"/>
        </w:rPr>
      </w:pPr>
      <w:r w:rsidRPr="006C433A">
        <w:rPr>
          <w:b/>
          <w:bCs/>
          <w:color w:val="222222" w:themeColor="text1"/>
          <w:sz w:val="22"/>
          <w:szCs w:val="22"/>
        </w:rPr>
        <w:t xml:space="preserve">Engagement </w:t>
      </w:r>
      <w:r w:rsidR="008914FE" w:rsidRPr="006C433A">
        <w:rPr>
          <w:b/>
          <w:bCs/>
          <w:color w:val="222222" w:themeColor="text1"/>
          <w:sz w:val="22"/>
          <w:szCs w:val="22"/>
        </w:rPr>
        <w:t>met externe fondsbeheerders</w:t>
      </w:r>
      <w:r w:rsidRPr="006C433A">
        <w:rPr>
          <w:b/>
          <w:bCs/>
          <w:color w:val="222222" w:themeColor="text1"/>
          <w:sz w:val="22"/>
          <w:szCs w:val="22"/>
        </w:rPr>
        <w:t xml:space="preserve"> </w:t>
      </w:r>
    </w:p>
    <w:p w:rsidR="006A1E0F" w:rsidRPr="006C433A" w:rsidRDefault="006A1E0F" w:rsidP="006A1E0F">
      <w:pPr>
        <w:spacing w:line="240" w:lineRule="auto"/>
        <w:rPr>
          <w:color w:val="auto"/>
          <w:sz w:val="22"/>
          <w:szCs w:val="22"/>
        </w:rPr>
      </w:pPr>
      <w:r w:rsidRPr="006C433A">
        <w:rPr>
          <w:color w:val="auto"/>
          <w:sz w:val="22"/>
          <w:szCs w:val="22"/>
        </w:rPr>
        <w:t xml:space="preserve">Quintet </w:t>
      </w:r>
      <w:r w:rsidR="0093483D" w:rsidRPr="006C433A">
        <w:rPr>
          <w:color w:val="auto"/>
          <w:sz w:val="22"/>
          <w:szCs w:val="22"/>
        </w:rPr>
        <w:t xml:space="preserve">besteedt een beduidend aandeel van het vermogen van onze cliënten uit aan externe </w:t>
      </w:r>
      <w:r w:rsidR="002A45FE" w:rsidRPr="006C433A">
        <w:rPr>
          <w:color w:val="auto"/>
          <w:sz w:val="22"/>
          <w:szCs w:val="22"/>
        </w:rPr>
        <w:t>beheerder</w:t>
      </w:r>
      <w:r w:rsidRPr="006C433A">
        <w:rPr>
          <w:color w:val="auto"/>
          <w:sz w:val="22"/>
          <w:szCs w:val="22"/>
        </w:rPr>
        <w:t>s. Actie</w:t>
      </w:r>
      <w:r w:rsidR="0093483D" w:rsidRPr="006C433A">
        <w:rPr>
          <w:color w:val="auto"/>
          <w:sz w:val="22"/>
          <w:szCs w:val="22"/>
        </w:rPr>
        <w:t xml:space="preserve">f </w:t>
      </w:r>
      <w:r w:rsidR="00423D7F">
        <w:rPr>
          <w:color w:val="auto"/>
          <w:sz w:val="22"/>
          <w:szCs w:val="22"/>
        </w:rPr>
        <w:t>aandeelhouderschap</w:t>
      </w:r>
      <w:r w:rsidR="0093483D" w:rsidRPr="006C433A">
        <w:rPr>
          <w:color w:val="auto"/>
          <w:sz w:val="22"/>
          <w:szCs w:val="22"/>
        </w:rPr>
        <w:t xml:space="preserve"> om duurzame beleggingswaarde te creëren</w:t>
      </w:r>
      <w:r w:rsidR="003B58F4" w:rsidRPr="006C433A">
        <w:rPr>
          <w:color w:val="auto"/>
          <w:sz w:val="22"/>
          <w:szCs w:val="22"/>
        </w:rPr>
        <w:t xml:space="preserve"> is van belang voor alle beleggingen, en we passen deze overtuiging toe bij de selectie en monitoring van</w:t>
      </w:r>
      <w:r w:rsidRPr="006C433A">
        <w:rPr>
          <w:color w:val="auto"/>
          <w:sz w:val="22"/>
          <w:szCs w:val="22"/>
        </w:rPr>
        <w:t xml:space="preserve"> </w:t>
      </w:r>
      <w:r w:rsidR="002A45FE" w:rsidRPr="006C433A">
        <w:rPr>
          <w:color w:val="auto"/>
          <w:sz w:val="22"/>
          <w:szCs w:val="22"/>
        </w:rPr>
        <w:t>externe</w:t>
      </w:r>
      <w:r w:rsidRPr="006C433A">
        <w:rPr>
          <w:color w:val="auto"/>
          <w:sz w:val="22"/>
          <w:szCs w:val="22"/>
        </w:rPr>
        <w:t xml:space="preserve"> </w:t>
      </w:r>
      <w:r w:rsidR="002A45FE" w:rsidRPr="006C433A">
        <w:rPr>
          <w:color w:val="auto"/>
          <w:sz w:val="22"/>
          <w:szCs w:val="22"/>
        </w:rPr>
        <w:t>beheerder</w:t>
      </w:r>
      <w:r w:rsidRPr="006C433A">
        <w:rPr>
          <w:color w:val="auto"/>
          <w:sz w:val="22"/>
          <w:szCs w:val="22"/>
        </w:rPr>
        <w:t xml:space="preserve">s. We </w:t>
      </w:r>
      <w:r w:rsidR="003B58F4" w:rsidRPr="006C433A">
        <w:rPr>
          <w:color w:val="auto"/>
          <w:sz w:val="22"/>
          <w:szCs w:val="22"/>
        </w:rPr>
        <w:t>gaan ook het gesprek aan met deze beheerders om onze i</w:t>
      </w:r>
      <w:r w:rsidR="00F97F96">
        <w:rPr>
          <w:color w:val="auto"/>
          <w:sz w:val="22"/>
          <w:szCs w:val="22"/>
        </w:rPr>
        <w:t>deeën</w:t>
      </w:r>
      <w:r w:rsidR="003B58F4" w:rsidRPr="006C433A">
        <w:rPr>
          <w:color w:val="auto"/>
          <w:sz w:val="22"/>
          <w:szCs w:val="22"/>
        </w:rPr>
        <w:t xml:space="preserve"> over te dragen en </w:t>
      </w:r>
      <w:r w:rsidR="00F97F96">
        <w:rPr>
          <w:color w:val="auto"/>
          <w:sz w:val="22"/>
          <w:szCs w:val="22"/>
        </w:rPr>
        <w:t xml:space="preserve">hun inzichten </w:t>
      </w:r>
      <w:r w:rsidR="003B58F4" w:rsidRPr="006C433A">
        <w:rPr>
          <w:color w:val="auto"/>
          <w:sz w:val="22"/>
          <w:szCs w:val="22"/>
        </w:rPr>
        <w:t xml:space="preserve">te begrijpen, en om inzicht te krijgen in hun actieve </w:t>
      </w:r>
      <w:r w:rsidR="00423D7F">
        <w:rPr>
          <w:color w:val="auto"/>
          <w:sz w:val="22"/>
          <w:szCs w:val="22"/>
        </w:rPr>
        <w:t>aandeelhouderschap</w:t>
      </w:r>
      <w:r w:rsidR="003B58F4" w:rsidRPr="006C433A">
        <w:rPr>
          <w:color w:val="auto"/>
          <w:sz w:val="22"/>
          <w:szCs w:val="22"/>
        </w:rPr>
        <w:t>sbeleid en praktijken.</w:t>
      </w:r>
      <w:r w:rsidRPr="006C433A">
        <w:rPr>
          <w:color w:val="auto"/>
          <w:sz w:val="22"/>
          <w:szCs w:val="22"/>
        </w:rPr>
        <w:t xml:space="preserve"> </w:t>
      </w:r>
    </w:p>
    <w:p w:rsidR="006A1E0F" w:rsidRPr="006C433A" w:rsidRDefault="006A1E0F" w:rsidP="00F80647">
      <w:pPr>
        <w:pStyle w:val="Heading2"/>
        <w:numPr>
          <w:ilvl w:val="0"/>
          <w:numId w:val="0"/>
        </w:numPr>
      </w:pPr>
    </w:p>
    <w:p w:rsidR="006A1E0F" w:rsidRPr="006C433A" w:rsidRDefault="003B58F4" w:rsidP="00FD7307">
      <w:pPr>
        <w:rPr>
          <w:b/>
          <w:bCs/>
          <w:color w:val="222222" w:themeColor="text1"/>
          <w:sz w:val="22"/>
          <w:szCs w:val="22"/>
        </w:rPr>
      </w:pPr>
      <w:r w:rsidRPr="006C433A">
        <w:rPr>
          <w:b/>
          <w:bCs/>
          <w:color w:val="222222" w:themeColor="text1"/>
          <w:sz w:val="22"/>
          <w:szCs w:val="22"/>
        </w:rPr>
        <w:t>Prioriteit bij stemmen</w:t>
      </w:r>
    </w:p>
    <w:p w:rsidR="006A1E0F" w:rsidRPr="006C433A" w:rsidRDefault="006A1E0F" w:rsidP="00FD7307">
      <w:pPr>
        <w:spacing w:line="240" w:lineRule="auto"/>
        <w:rPr>
          <w:color w:val="auto"/>
          <w:sz w:val="22"/>
          <w:szCs w:val="22"/>
        </w:rPr>
      </w:pPr>
      <w:r w:rsidRPr="006C433A">
        <w:rPr>
          <w:color w:val="auto"/>
          <w:sz w:val="22"/>
          <w:szCs w:val="22"/>
        </w:rPr>
        <w:t xml:space="preserve">Quintet </w:t>
      </w:r>
      <w:r w:rsidR="00F97F96">
        <w:rPr>
          <w:color w:val="auto"/>
          <w:sz w:val="22"/>
          <w:szCs w:val="22"/>
        </w:rPr>
        <w:t>heeft</w:t>
      </w:r>
      <w:r w:rsidR="003B58F4" w:rsidRPr="006C433A">
        <w:rPr>
          <w:color w:val="auto"/>
          <w:sz w:val="22"/>
          <w:szCs w:val="22"/>
        </w:rPr>
        <w:t xml:space="preserve"> samen met </w:t>
      </w:r>
      <w:proofErr w:type="spellStart"/>
      <w:r w:rsidR="003B58F4" w:rsidRPr="006C433A">
        <w:rPr>
          <w:color w:val="auto"/>
          <w:sz w:val="22"/>
          <w:szCs w:val="22"/>
        </w:rPr>
        <w:t>Glass</w:t>
      </w:r>
      <w:proofErr w:type="spellEnd"/>
      <w:r w:rsidR="003B58F4" w:rsidRPr="006C433A">
        <w:rPr>
          <w:color w:val="auto"/>
          <w:sz w:val="22"/>
          <w:szCs w:val="22"/>
        </w:rPr>
        <w:t xml:space="preserve"> Lewis, een adviesbureau gespecialiseerd in stemmen bij volmacht, een ESG-stembeleid opgesteld. De primaire focus van </w:t>
      </w:r>
      <w:proofErr w:type="spellStart"/>
      <w:r w:rsidR="003B58F4" w:rsidRPr="006C433A">
        <w:rPr>
          <w:color w:val="auto"/>
          <w:sz w:val="22"/>
          <w:szCs w:val="22"/>
        </w:rPr>
        <w:t>Quintets</w:t>
      </w:r>
      <w:proofErr w:type="spellEnd"/>
      <w:r w:rsidR="003B58F4" w:rsidRPr="006C433A">
        <w:rPr>
          <w:color w:val="auto"/>
          <w:sz w:val="22"/>
          <w:szCs w:val="22"/>
        </w:rPr>
        <w:t xml:space="preserve"> stembesluiten is goed</w:t>
      </w:r>
      <w:r w:rsidR="00F97F96">
        <w:rPr>
          <w:color w:val="auto"/>
          <w:sz w:val="22"/>
          <w:szCs w:val="22"/>
        </w:rPr>
        <w:t xml:space="preserve"> bestuur</w:t>
      </w:r>
      <w:r w:rsidR="003B58F4" w:rsidRPr="006C433A">
        <w:rPr>
          <w:color w:val="auto"/>
          <w:sz w:val="22"/>
          <w:szCs w:val="22"/>
        </w:rPr>
        <w:t xml:space="preserve"> van de organisatie</w:t>
      </w:r>
      <w:r w:rsidR="00F97F96">
        <w:rPr>
          <w:color w:val="auto"/>
          <w:sz w:val="22"/>
          <w:szCs w:val="22"/>
        </w:rPr>
        <w:t>,</w:t>
      </w:r>
      <w:r w:rsidR="003B58F4" w:rsidRPr="006C433A">
        <w:rPr>
          <w:color w:val="auto"/>
          <w:sz w:val="22"/>
          <w:szCs w:val="22"/>
        </w:rPr>
        <w:t xml:space="preserve"> waaronder mede begrepen het beheersen van materiële milieu- en sociale risico’s. Bestuursstructuren die gericht zijn op prest</w:t>
      </w:r>
      <w:r w:rsidR="00F97F96">
        <w:rPr>
          <w:color w:val="auto"/>
          <w:sz w:val="22"/>
          <w:szCs w:val="22"/>
        </w:rPr>
        <w:t>eren</w:t>
      </w:r>
      <w:r w:rsidR="003B58F4" w:rsidRPr="006C433A">
        <w:rPr>
          <w:color w:val="auto"/>
          <w:sz w:val="22"/>
          <w:szCs w:val="22"/>
        </w:rPr>
        <w:t xml:space="preserve">, aandeelhouderswaarde creëren en </w:t>
      </w:r>
      <w:r w:rsidR="00FD59B4" w:rsidRPr="006C433A">
        <w:rPr>
          <w:color w:val="auto"/>
          <w:sz w:val="22"/>
          <w:szCs w:val="22"/>
        </w:rPr>
        <w:t>een goed</w:t>
      </w:r>
      <w:r w:rsidR="00F97F96">
        <w:rPr>
          <w:color w:val="auto"/>
          <w:sz w:val="22"/>
          <w:szCs w:val="22"/>
        </w:rPr>
        <w:t>e</w:t>
      </w:r>
      <w:r w:rsidR="00FD59B4" w:rsidRPr="006C433A">
        <w:rPr>
          <w:color w:val="auto"/>
          <w:sz w:val="22"/>
          <w:szCs w:val="22"/>
        </w:rPr>
        <w:t xml:space="preserve"> “</w:t>
      </w:r>
      <w:proofErr w:type="spellStart"/>
      <w:r w:rsidR="00FD59B4" w:rsidRPr="006C433A">
        <w:rPr>
          <w:i/>
          <w:iCs/>
          <w:color w:val="auto"/>
          <w:sz w:val="22"/>
          <w:szCs w:val="22"/>
        </w:rPr>
        <w:t>tone</w:t>
      </w:r>
      <w:proofErr w:type="spellEnd"/>
      <w:r w:rsidR="00FD59B4" w:rsidRPr="006C433A">
        <w:rPr>
          <w:i/>
          <w:iCs/>
          <w:color w:val="auto"/>
          <w:sz w:val="22"/>
          <w:szCs w:val="22"/>
        </w:rPr>
        <w:t xml:space="preserve"> at </w:t>
      </w:r>
      <w:proofErr w:type="spellStart"/>
      <w:r w:rsidR="00FD59B4" w:rsidRPr="006C433A">
        <w:rPr>
          <w:i/>
          <w:iCs/>
          <w:color w:val="auto"/>
          <w:sz w:val="22"/>
          <w:szCs w:val="22"/>
        </w:rPr>
        <w:t>the</w:t>
      </w:r>
      <w:proofErr w:type="spellEnd"/>
      <w:r w:rsidR="00FD59B4" w:rsidRPr="006C433A">
        <w:rPr>
          <w:i/>
          <w:iCs/>
          <w:color w:val="auto"/>
          <w:sz w:val="22"/>
          <w:szCs w:val="22"/>
        </w:rPr>
        <w:t xml:space="preserve"> top” </w:t>
      </w:r>
      <w:r w:rsidR="00FD59B4" w:rsidRPr="006C433A">
        <w:rPr>
          <w:color w:val="auto"/>
          <w:sz w:val="22"/>
          <w:szCs w:val="22"/>
        </w:rPr>
        <w:t xml:space="preserve">zijn essentieel </w:t>
      </w:r>
      <w:r w:rsidR="00F97F96">
        <w:rPr>
          <w:color w:val="auto"/>
          <w:sz w:val="22"/>
          <w:szCs w:val="22"/>
        </w:rPr>
        <w:t>voor</w:t>
      </w:r>
      <w:r w:rsidR="00FD59B4" w:rsidRPr="006C433A">
        <w:rPr>
          <w:color w:val="auto"/>
          <w:sz w:val="22"/>
          <w:szCs w:val="22"/>
        </w:rPr>
        <w:t xml:space="preserve"> het verkleinen van risico’s en het opbouwen van aandeelhouderswaarde op de lange termijn. Besturen die zich inzetten voor de bescherming en verbetering van de belangen van aandeelhouders zijn onafhankelijk, divers, functioneren positief en bestaan uit leden die beschikken over relevante kennis en ervaring, zowel in de breedte als in de diepte. </w:t>
      </w:r>
    </w:p>
    <w:p w:rsidR="00FD7307" w:rsidRPr="006C433A" w:rsidRDefault="00FD7307" w:rsidP="00FD7307">
      <w:pPr>
        <w:spacing w:line="240" w:lineRule="auto"/>
        <w:rPr>
          <w:color w:val="auto"/>
          <w:sz w:val="22"/>
          <w:szCs w:val="22"/>
        </w:rPr>
      </w:pPr>
    </w:p>
    <w:p w:rsidR="006A1E0F" w:rsidRPr="006C433A" w:rsidRDefault="00AF16C2" w:rsidP="00F80647">
      <w:pPr>
        <w:spacing w:line="240" w:lineRule="auto"/>
      </w:pPr>
      <w:r w:rsidRPr="006C433A">
        <w:rPr>
          <w:color w:val="auto"/>
          <w:sz w:val="22"/>
          <w:szCs w:val="22"/>
        </w:rPr>
        <w:t xml:space="preserve">Door middel van ons stemrecht streven we ernaar breed geaccepteerde ESG-praktijken te ondersteunen. Dit beleid, dat berust op de expertise van </w:t>
      </w:r>
      <w:proofErr w:type="spellStart"/>
      <w:r w:rsidRPr="006C433A">
        <w:rPr>
          <w:color w:val="auto"/>
          <w:sz w:val="22"/>
          <w:szCs w:val="22"/>
        </w:rPr>
        <w:t>Glass</w:t>
      </w:r>
      <w:proofErr w:type="spellEnd"/>
      <w:r w:rsidRPr="006C433A">
        <w:rPr>
          <w:color w:val="auto"/>
          <w:sz w:val="22"/>
          <w:szCs w:val="22"/>
        </w:rPr>
        <w:t xml:space="preserve"> Lewis, legt de nadruk op </w:t>
      </w:r>
      <w:proofErr w:type="spellStart"/>
      <w:r w:rsidRPr="006C433A">
        <w:rPr>
          <w:color w:val="auto"/>
          <w:sz w:val="22"/>
          <w:szCs w:val="22"/>
        </w:rPr>
        <w:t>governance</w:t>
      </w:r>
      <w:proofErr w:type="spellEnd"/>
      <w:r w:rsidRPr="006C433A">
        <w:rPr>
          <w:color w:val="auto"/>
          <w:sz w:val="22"/>
          <w:szCs w:val="22"/>
        </w:rPr>
        <w:t>, het milieu en sociale aangelegenheden</w:t>
      </w:r>
      <w:r w:rsidR="006C7C6B" w:rsidRPr="006C433A">
        <w:rPr>
          <w:color w:val="auto"/>
          <w:sz w:val="22"/>
          <w:szCs w:val="22"/>
        </w:rPr>
        <w:t xml:space="preserve"> en ondersteunt met name </w:t>
      </w:r>
      <w:r w:rsidR="00F97F96">
        <w:rPr>
          <w:color w:val="auto"/>
          <w:sz w:val="22"/>
          <w:szCs w:val="22"/>
        </w:rPr>
        <w:t xml:space="preserve">op goed bestuur </w:t>
      </w:r>
      <w:r w:rsidR="006C7C6B" w:rsidRPr="006C433A">
        <w:rPr>
          <w:color w:val="auto"/>
          <w:sz w:val="22"/>
          <w:szCs w:val="22"/>
        </w:rPr>
        <w:t xml:space="preserve">gerichte aandeelhoudersvoorstellen, en alle voorstellen met betrekking tot het milieu en sociale kwesties die ten doel hebben het beleid en functioneren van een onderneming te </w:t>
      </w:r>
      <w:r w:rsidR="00F97F96">
        <w:rPr>
          <w:color w:val="auto"/>
          <w:sz w:val="22"/>
          <w:szCs w:val="22"/>
        </w:rPr>
        <w:t>optimaliseren</w:t>
      </w:r>
      <w:r w:rsidR="006C7C6B" w:rsidRPr="006C433A">
        <w:rPr>
          <w:color w:val="auto"/>
          <w:sz w:val="22"/>
          <w:szCs w:val="22"/>
        </w:rPr>
        <w:t xml:space="preserve"> of de communicatie van een onderneming over dit soort kwesties te verbeteren. </w:t>
      </w:r>
    </w:p>
    <w:p w:rsidR="006C433A" w:rsidRDefault="006C433A" w:rsidP="00F80647">
      <w:pPr>
        <w:pStyle w:val="Heading2"/>
        <w:numPr>
          <w:ilvl w:val="0"/>
          <w:numId w:val="0"/>
        </w:numPr>
      </w:pPr>
    </w:p>
    <w:p w:rsidR="006C433A" w:rsidRPr="006C433A" w:rsidRDefault="00E008A6" w:rsidP="00F80647">
      <w:pPr>
        <w:pStyle w:val="Heading2"/>
      </w:pPr>
      <w:r w:rsidRPr="006C433A">
        <w:t>VERWIJZINGEN NAAR INTERNATIONALE standaarden</w:t>
      </w:r>
    </w:p>
    <w:p w:rsidR="00FD7307" w:rsidRPr="006C433A" w:rsidRDefault="00FD7307" w:rsidP="00FD7307">
      <w:pPr>
        <w:spacing w:line="240" w:lineRule="auto"/>
        <w:rPr>
          <w:color w:val="auto"/>
          <w:sz w:val="22"/>
          <w:szCs w:val="22"/>
        </w:rPr>
      </w:pPr>
      <w:r w:rsidRPr="006C433A">
        <w:rPr>
          <w:color w:val="auto"/>
          <w:sz w:val="22"/>
          <w:szCs w:val="22"/>
        </w:rPr>
        <w:t>A</w:t>
      </w:r>
      <w:r w:rsidR="006C7C6B" w:rsidRPr="006C433A">
        <w:rPr>
          <w:color w:val="auto"/>
          <w:sz w:val="22"/>
          <w:szCs w:val="22"/>
        </w:rPr>
        <w:t xml:space="preserve">ls deel van onze algemene benadering tot duurzaam beleggen, en specifiek in verband met het verkleinen van ongunstige effecten, worden door Quintet een aantal internationale standaarden en codes in acht genomen. De belangrijkste hiervan zijn de Global Compact Principes van de Verenigde Naties, de OESO Richtlijnen voor Multinationale Ondernemingen, de Principes voor Bedrijfsleven en Mensenrechten van de Verenigde Naties en </w:t>
      </w:r>
      <w:r w:rsidR="00E00A85" w:rsidRPr="006C433A">
        <w:rPr>
          <w:color w:val="auto"/>
          <w:sz w:val="22"/>
          <w:szCs w:val="22"/>
        </w:rPr>
        <w:t xml:space="preserve">de Global </w:t>
      </w:r>
      <w:proofErr w:type="spellStart"/>
      <w:r w:rsidR="00E00A85" w:rsidRPr="006C433A">
        <w:rPr>
          <w:color w:val="auto"/>
          <w:sz w:val="22"/>
          <w:szCs w:val="22"/>
        </w:rPr>
        <w:t>Governance</w:t>
      </w:r>
      <w:proofErr w:type="spellEnd"/>
      <w:r w:rsidR="00E00A85" w:rsidRPr="006C433A">
        <w:rPr>
          <w:color w:val="auto"/>
          <w:sz w:val="22"/>
          <w:szCs w:val="22"/>
        </w:rPr>
        <w:t xml:space="preserve"> </w:t>
      </w:r>
      <w:proofErr w:type="spellStart"/>
      <w:r w:rsidR="00E00A85" w:rsidRPr="006C433A">
        <w:rPr>
          <w:color w:val="auto"/>
          <w:sz w:val="22"/>
          <w:szCs w:val="22"/>
        </w:rPr>
        <w:t>Principles</w:t>
      </w:r>
      <w:proofErr w:type="spellEnd"/>
      <w:r w:rsidR="00E00A85" w:rsidRPr="006C433A">
        <w:rPr>
          <w:color w:val="auto"/>
          <w:sz w:val="22"/>
          <w:szCs w:val="22"/>
        </w:rPr>
        <w:t xml:space="preserve"> van het </w:t>
      </w:r>
      <w:r w:rsidR="00984C26" w:rsidRPr="006C433A">
        <w:rPr>
          <w:color w:val="auto"/>
          <w:sz w:val="22"/>
          <w:szCs w:val="22"/>
        </w:rPr>
        <w:t xml:space="preserve">International Corporate </w:t>
      </w:r>
      <w:proofErr w:type="spellStart"/>
      <w:r w:rsidR="00984C26" w:rsidRPr="006C433A">
        <w:rPr>
          <w:color w:val="auto"/>
          <w:sz w:val="22"/>
          <w:szCs w:val="22"/>
        </w:rPr>
        <w:t>Governance</w:t>
      </w:r>
      <w:proofErr w:type="spellEnd"/>
      <w:r w:rsidR="00984C26" w:rsidRPr="006C433A">
        <w:rPr>
          <w:color w:val="auto"/>
          <w:sz w:val="22"/>
          <w:szCs w:val="22"/>
        </w:rPr>
        <w:t xml:space="preserve"> Network (ICGN). </w:t>
      </w:r>
      <w:r w:rsidR="00E00A85" w:rsidRPr="006C433A">
        <w:rPr>
          <w:color w:val="auto"/>
          <w:sz w:val="22"/>
          <w:szCs w:val="22"/>
        </w:rPr>
        <w:t xml:space="preserve">Deze zijn ingebed in onze </w:t>
      </w:r>
      <w:proofErr w:type="spellStart"/>
      <w:r w:rsidR="00E00A85" w:rsidRPr="006C433A">
        <w:rPr>
          <w:color w:val="auto"/>
          <w:sz w:val="22"/>
          <w:szCs w:val="22"/>
        </w:rPr>
        <w:t>due</w:t>
      </w:r>
      <w:proofErr w:type="spellEnd"/>
      <w:r w:rsidR="00E00A85" w:rsidRPr="006C433A">
        <w:rPr>
          <w:color w:val="auto"/>
          <w:sz w:val="22"/>
          <w:szCs w:val="22"/>
        </w:rPr>
        <w:t xml:space="preserve"> diligence-procedures en in onze monitoring en verslaglegging. Daarnaast zijn de </w:t>
      </w:r>
      <w:r w:rsidR="00F97F96">
        <w:rPr>
          <w:color w:val="auto"/>
          <w:sz w:val="22"/>
          <w:szCs w:val="22"/>
        </w:rPr>
        <w:t>informatie</w:t>
      </w:r>
      <w:r w:rsidR="00E00A85" w:rsidRPr="006C433A">
        <w:rPr>
          <w:color w:val="auto"/>
          <w:sz w:val="22"/>
          <w:szCs w:val="22"/>
        </w:rPr>
        <w:t xml:space="preserve">, het onderzoek, de hulpmiddelen en diensten die we van onze zakelijke partners krijgen met betrekking tot ESG-risico’s en mogelijkheden, uitsluitingen, engagement en stemmen allemaal hetzij afkomstig van </w:t>
      </w:r>
      <w:r w:rsidR="00F97F96">
        <w:rPr>
          <w:color w:val="auto"/>
          <w:sz w:val="22"/>
          <w:szCs w:val="22"/>
        </w:rPr>
        <w:t>hetzij</w:t>
      </w:r>
      <w:r w:rsidR="00E00A85" w:rsidRPr="006C433A">
        <w:rPr>
          <w:color w:val="auto"/>
          <w:sz w:val="22"/>
          <w:szCs w:val="22"/>
        </w:rPr>
        <w:t xml:space="preserve"> ten minste (ten dele) gebaseerd of gerelateerd aan deze standaarden. Bovendien verwachten we van onze externe beheerders dat zij deze of gelijkwaardige standaarden toepassen in hun beleggingsbesluitvorming, uitsluitingen, engagement en stemmen, en in hun rapportages</w:t>
      </w:r>
      <w:r w:rsidRPr="006C433A">
        <w:rPr>
          <w:color w:val="auto"/>
          <w:sz w:val="22"/>
          <w:szCs w:val="22"/>
        </w:rPr>
        <w:t>.</w:t>
      </w:r>
    </w:p>
    <w:p w:rsidR="00FD7307" w:rsidRPr="006C433A" w:rsidRDefault="00FD7307" w:rsidP="00FD7307">
      <w:pPr>
        <w:spacing w:line="240" w:lineRule="auto"/>
        <w:rPr>
          <w:color w:val="auto"/>
          <w:sz w:val="22"/>
          <w:szCs w:val="22"/>
        </w:rPr>
      </w:pPr>
    </w:p>
    <w:p w:rsidR="00FD7307" w:rsidRPr="006C433A" w:rsidRDefault="00DE5ABB" w:rsidP="00FD7307">
      <w:pPr>
        <w:spacing w:line="240" w:lineRule="auto"/>
        <w:rPr>
          <w:color w:val="auto"/>
          <w:sz w:val="22"/>
          <w:szCs w:val="22"/>
        </w:rPr>
      </w:pPr>
      <w:r w:rsidRPr="006C433A">
        <w:rPr>
          <w:color w:val="auto"/>
          <w:sz w:val="22"/>
          <w:szCs w:val="22"/>
        </w:rPr>
        <w:t xml:space="preserve">Daarnaast heeft Quintet de Principes voor Verantwoord Beleggen (“PRI”) ondertekend. Als ondertekenaar hebben </w:t>
      </w:r>
      <w:r w:rsidR="00BC31EE" w:rsidRPr="006C433A">
        <w:rPr>
          <w:color w:val="auto"/>
          <w:sz w:val="22"/>
          <w:szCs w:val="22"/>
        </w:rPr>
        <w:t>wij ons verplicht naar deze zes Principes te handelen</w:t>
      </w:r>
      <w:r w:rsidR="00FD7307" w:rsidRPr="006C433A">
        <w:rPr>
          <w:color w:val="auto"/>
          <w:sz w:val="22"/>
          <w:szCs w:val="22"/>
        </w:rPr>
        <w:t>:</w:t>
      </w:r>
    </w:p>
    <w:p w:rsidR="00BC31EE" w:rsidRPr="006C433A" w:rsidRDefault="001E09E9" w:rsidP="00BC31EE">
      <w:pPr>
        <w:numPr>
          <w:ilvl w:val="0"/>
          <w:numId w:val="29"/>
        </w:numPr>
        <w:spacing w:before="100" w:beforeAutospacing="1" w:after="100" w:afterAutospacing="1" w:line="240" w:lineRule="auto"/>
        <w:ind w:left="567" w:hanging="567"/>
        <w:rPr>
          <w:rFonts w:asciiTheme="minorHAnsi" w:hAnsiTheme="minorHAnsi"/>
          <w:color w:val="auto"/>
          <w:sz w:val="22"/>
          <w:szCs w:val="22"/>
        </w:rPr>
      </w:pPr>
      <w:r w:rsidRPr="006C433A">
        <w:rPr>
          <w:color w:val="auto"/>
          <w:sz w:val="22"/>
          <w:szCs w:val="22"/>
        </w:rPr>
        <w:t>Principe</w:t>
      </w:r>
      <w:r w:rsidR="00FD7307" w:rsidRPr="006C433A">
        <w:rPr>
          <w:color w:val="auto"/>
          <w:sz w:val="22"/>
          <w:szCs w:val="22"/>
        </w:rPr>
        <w:t xml:space="preserve"> 1: </w:t>
      </w:r>
      <w:r w:rsidR="00BC31EE" w:rsidRPr="006C433A">
        <w:rPr>
          <w:rFonts w:asciiTheme="minorHAnsi" w:hAnsiTheme="minorHAnsi" w:cs="Arial"/>
          <w:color w:val="000000"/>
          <w:spacing w:val="3"/>
          <w:sz w:val="22"/>
          <w:szCs w:val="22"/>
        </w:rPr>
        <w:t>Wij zullen ESG-aangelegenheden in investeringsanalyses en in het besluitvormingsproces opnemen</w:t>
      </w:r>
      <w:r w:rsidR="00FD7307" w:rsidRPr="006C433A">
        <w:rPr>
          <w:rFonts w:asciiTheme="minorHAnsi" w:hAnsiTheme="minorHAnsi"/>
          <w:color w:val="auto"/>
          <w:sz w:val="22"/>
          <w:szCs w:val="22"/>
        </w:rPr>
        <w:t>.</w:t>
      </w:r>
    </w:p>
    <w:p w:rsidR="00BC31EE" w:rsidRPr="006C433A" w:rsidRDefault="00BC31EE" w:rsidP="00BC31EE">
      <w:pPr>
        <w:numPr>
          <w:ilvl w:val="0"/>
          <w:numId w:val="29"/>
        </w:numPr>
        <w:spacing w:before="100" w:beforeAutospacing="1" w:after="100" w:afterAutospacing="1" w:line="240" w:lineRule="auto"/>
        <w:ind w:left="567" w:hanging="567"/>
        <w:rPr>
          <w:rFonts w:asciiTheme="minorHAnsi" w:hAnsiTheme="minorHAnsi" w:cs="Arial"/>
          <w:color w:val="000000"/>
          <w:spacing w:val="3"/>
          <w:sz w:val="22"/>
          <w:szCs w:val="22"/>
        </w:rPr>
      </w:pPr>
      <w:r w:rsidRPr="006C433A">
        <w:rPr>
          <w:rFonts w:asciiTheme="minorHAnsi" w:hAnsiTheme="minorHAnsi"/>
          <w:color w:val="auto"/>
          <w:sz w:val="22"/>
          <w:szCs w:val="22"/>
        </w:rPr>
        <w:t xml:space="preserve">Principe 2: </w:t>
      </w:r>
      <w:r w:rsidRPr="006C433A">
        <w:rPr>
          <w:rFonts w:asciiTheme="minorHAnsi" w:hAnsiTheme="minorHAnsi" w:cs="Arial"/>
          <w:color w:val="000000"/>
          <w:spacing w:val="3"/>
          <w:sz w:val="22"/>
          <w:szCs w:val="22"/>
        </w:rPr>
        <w:t xml:space="preserve">Wij zullen </w:t>
      </w:r>
      <w:r w:rsidR="00423D7F">
        <w:rPr>
          <w:rFonts w:asciiTheme="minorHAnsi" w:hAnsiTheme="minorHAnsi" w:cs="Arial"/>
          <w:color w:val="000000"/>
          <w:spacing w:val="3"/>
          <w:sz w:val="22"/>
          <w:szCs w:val="22"/>
        </w:rPr>
        <w:t>actieve aandeelhouders</w:t>
      </w:r>
      <w:r w:rsidRPr="006C433A">
        <w:rPr>
          <w:rFonts w:asciiTheme="minorHAnsi" w:hAnsiTheme="minorHAnsi" w:cs="Arial"/>
          <w:color w:val="000000"/>
          <w:spacing w:val="3"/>
          <w:sz w:val="22"/>
          <w:szCs w:val="22"/>
        </w:rPr>
        <w:t xml:space="preserve"> zijn en ESG-aangelegenheden in ons beleid en onze praktijken inzake </w:t>
      </w:r>
      <w:r w:rsidR="00423D7F">
        <w:rPr>
          <w:rFonts w:asciiTheme="minorHAnsi" w:hAnsiTheme="minorHAnsi" w:cs="Arial"/>
          <w:color w:val="000000"/>
          <w:spacing w:val="3"/>
          <w:sz w:val="22"/>
          <w:szCs w:val="22"/>
        </w:rPr>
        <w:t>aandeelhouderschap</w:t>
      </w:r>
      <w:r w:rsidRPr="006C433A">
        <w:rPr>
          <w:rFonts w:asciiTheme="minorHAnsi" w:hAnsiTheme="minorHAnsi" w:cs="Arial"/>
          <w:color w:val="000000"/>
          <w:spacing w:val="3"/>
          <w:sz w:val="22"/>
          <w:szCs w:val="22"/>
        </w:rPr>
        <w:t xml:space="preserve"> opnemen</w:t>
      </w:r>
    </w:p>
    <w:p w:rsidR="00BC31EE" w:rsidRPr="006C433A" w:rsidRDefault="00BC31EE" w:rsidP="00BC31EE">
      <w:pPr>
        <w:numPr>
          <w:ilvl w:val="0"/>
          <w:numId w:val="29"/>
        </w:numPr>
        <w:spacing w:before="100" w:beforeAutospacing="1" w:after="100" w:afterAutospacing="1" w:line="240" w:lineRule="auto"/>
        <w:ind w:left="567" w:hanging="567"/>
        <w:rPr>
          <w:rFonts w:asciiTheme="minorHAnsi" w:hAnsiTheme="minorHAnsi" w:cs="Arial"/>
          <w:color w:val="000000"/>
          <w:spacing w:val="3"/>
          <w:sz w:val="22"/>
          <w:szCs w:val="22"/>
        </w:rPr>
      </w:pPr>
      <w:r w:rsidRPr="006C433A">
        <w:rPr>
          <w:rFonts w:asciiTheme="minorHAnsi" w:hAnsiTheme="minorHAnsi"/>
          <w:color w:val="auto"/>
          <w:sz w:val="22"/>
          <w:szCs w:val="22"/>
        </w:rPr>
        <w:t xml:space="preserve">Principe 3: </w:t>
      </w:r>
      <w:r w:rsidRPr="006C433A">
        <w:rPr>
          <w:rFonts w:asciiTheme="minorHAnsi" w:hAnsiTheme="minorHAnsi" w:cs="Arial"/>
          <w:color w:val="000000"/>
          <w:spacing w:val="3"/>
          <w:sz w:val="22"/>
          <w:szCs w:val="22"/>
        </w:rPr>
        <w:t>Wij zullen de aanvaarding en toepassing van deze principes in de investeringssector bevorderen</w:t>
      </w:r>
    </w:p>
    <w:p w:rsidR="00BC31EE" w:rsidRPr="006C433A" w:rsidRDefault="00BC31EE" w:rsidP="00BC31EE">
      <w:pPr>
        <w:numPr>
          <w:ilvl w:val="0"/>
          <w:numId w:val="29"/>
        </w:numPr>
        <w:spacing w:before="100" w:beforeAutospacing="1" w:after="100" w:afterAutospacing="1" w:line="240" w:lineRule="auto"/>
        <w:ind w:left="567" w:hanging="567"/>
        <w:rPr>
          <w:rFonts w:asciiTheme="minorHAnsi" w:hAnsiTheme="minorHAnsi" w:cs="Arial"/>
          <w:color w:val="000000"/>
          <w:spacing w:val="3"/>
          <w:sz w:val="22"/>
          <w:szCs w:val="22"/>
        </w:rPr>
      </w:pPr>
      <w:r w:rsidRPr="006C433A">
        <w:rPr>
          <w:rFonts w:asciiTheme="minorHAnsi" w:hAnsiTheme="minorHAnsi"/>
          <w:color w:val="auto"/>
          <w:sz w:val="22"/>
          <w:szCs w:val="22"/>
        </w:rPr>
        <w:t xml:space="preserve">Principe 4: </w:t>
      </w:r>
      <w:r w:rsidRPr="006C433A">
        <w:rPr>
          <w:rFonts w:asciiTheme="minorHAnsi" w:hAnsiTheme="minorHAnsi" w:cs="Arial"/>
          <w:color w:val="000000"/>
          <w:spacing w:val="3"/>
          <w:sz w:val="22"/>
          <w:szCs w:val="22"/>
        </w:rPr>
        <w:t>Wij zullen verzekeren dat de entiteiten waarin we investeren correct over ESG-aangelegenheden communiceren</w:t>
      </w:r>
    </w:p>
    <w:p w:rsidR="006C433A" w:rsidRDefault="00BC31EE" w:rsidP="000A0384">
      <w:pPr>
        <w:numPr>
          <w:ilvl w:val="0"/>
          <w:numId w:val="29"/>
        </w:numPr>
        <w:spacing w:before="100" w:beforeAutospacing="1" w:after="100" w:afterAutospacing="1" w:line="240" w:lineRule="auto"/>
        <w:ind w:left="567" w:hanging="567"/>
        <w:rPr>
          <w:rFonts w:asciiTheme="minorHAnsi" w:hAnsiTheme="minorHAnsi" w:cs="Arial"/>
          <w:color w:val="000000"/>
          <w:spacing w:val="3"/>
          <w:sz w:val="22"/>
          <w:szCs w:val="22"/>
        </w:rPr>
      </w:pPr>
      <w:r w:rsidRPr="006C433A">
        <w:rPr>
          <w:rFonts w:asciiTheme="minorHAnsi" w:hAnsiTheme="minorHAnsi"/>
          <w:color w:val="auto"/>
          <w:sz w:val="22"/>
          <w:szCs w:val="22"/>
        </w:rPr>
        <w:t xml:space="preserve">Principe 5: </w:t>
      </w:r>
      <w:r w:rsidRPr="006C433A">
        <w:rPr>
          <w:rFonts w:asciiTheme="minorHAnsi" w:hAnsiTheme="minorHAnsi" w:cs="Arial"/>
          <w:color w:val="000000"/>
          <w:spacing w:val="3"/>
          <w:sz w:val="22"/>
          <w:szCs w:val="22"/>
        </w:rPr>
        <w:t>Wij zullen samenwerken om de Principes op doeltreffende wijze toe te passen</w:t>
      </w:r>
    </w:p>
    <w:p w:rsidR="00BC31EE" w:rsidRPr="006C433A" w:rsidRDefault="00BC31EE" w:rsidP="000A0384">
      <w:pPr>
        <w:numPr>
          <w:ilvl w:val="0"/>
          <w:numId w:val="29"/>
        </w:numPr>
        <w:spacing w:before="100" w:beforeAutospacing="1" w:after="100" w:afterAutospacing="1" w:line="240" w:lineRule="auto"/>
        <w:ind w:left="567" w:hanging="567"/>
        <w:rPr>
          <w:rFonts w:asciiTheme="minorHAnsi" w:hAnsiTheme="minorHAnsi" w:cs="Arial"/>
          <w:color w:val="000000"/>
          <w:spacing w:val="3"/>
          <w:sz w:val="22"/>
          <w:szCs w:val="22"/>
        </w:rPr>
      </w:pPr>
      <w:r w:rsidRPr="006C433A">
        <w:rPr>
          <w:rFonts w:asciiTheme="minorHAnsi" w:hAnsiTheme="minorHAnsi"/>
          <w:color w:val="auto"/>
          <w:sz w:val="22"/>
          <w:szCs w:val="22"/>
        </w:rPr>
        <w:t xml:space="preserve">Principe 6: </w:t>
      </w:r>
      <w:r w:rsidRPr="006C433A">
        <w:rPr>
          <w:rFonts w:asciiTheme="minorHAnsi" w:hAnsiTheme="minorHAnsi" w:cs="Arial"/>
          <w:color w:val="000000"/>
          <w:spacing w:val="3"/>
          <w:sz w:val="22"/>
          <w:szCs w:val="22"/>
        </w:rPr>
        <w:t>Wij zullen allen rapporteren over onze activiteiten en onze vooruitgang in het toepassen van deze Principes</w:t>
      </w:r>
    </w:p>
    <w:p w:rsidR="00225550" w:rsidRPr="006C433A" w:rsidRDefault="00225550" w:rsidP="002D6203">
      <w:pPr>
        <w:spacing w:line="240" w:lineRule="auto"/>
        <w:rPr>
          <w:rFonts w:ascii="Arial" w:hAnsi="Arial"/>
          <w:color w:val="auto"/>
        </w:rPr>
      </w:pPr>
    </w:p>
    <w:sectPr w:rsidR="00225550" w:rsidRPr="006C433A" w:rsidSect="00F11542">
      <w:footerReference w:type="default" r:id="rId8"/>
      <w:pgSz w:w="11907" w:h="16839"/>
      <w:pgMar w:top="1134" w:right="851" w:bottom="1418" w:left="851" w:header="39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30A4" w16cex:dateUtc="2021-06-21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DF84E" w16cid:durableId="247B30A4"/>
  <w16cid:commentId w16cid:paraId="5983438A" w16cid:durableId="247B2F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F2" w:rsidRDefault="005D7AF2" w:rsidP="00BA20E1">
      <w:pPr>
        <w:spacing w:line="240" w:lineRule="auto"/>
      </w:pPr>
      <w:r>
        <w:separator/>
      </w:r>
    </w:p>
  </w:endnote>
  <w:endnote w:type="continuationSeparator" w:id="0">
    <w:p w:rsidR="005D7AF2" w:rsidRDefault="005D7AF2" w:rsidP="00BA2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halet-NewYorkNineteenSixty">
    <w:panose1 w:val="00000000000000000000"/>
    <w:charset w:val="00"/>
    <w:family w:val="modern"/>
    <w:notTrueType/>
    <w:pitch w:val="variable"/>
    <w:sig w:usb0="800002AF" w:usb1="5000004A"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673588"/>
      <w:docPartObj>
        <w:docPartGallery w:val="Page Numbers (Bottom of Page)"/>
        <w:docPartUnique/>
      </w:docPartObj>
    </w:sdtPr>
    <w:sdtEndPr>
      <w:rPr>
        <w:noProof/>
      </w:rPr>
    </w:sdtEndPr>
    <w:sdtContent>
      <w:p w:rsidR="00BD0C0D" w:rsidRDefault="00BD0C0D">
        <w:pPr>
          <w:pStyle w:val="Footer"/>
          <w:jc w:val="right"/>
        </w:pPr>
        <w:r>
          <w:fldChar w:fldCharType="begin"/>
        </w:r>
        <w:r>
          <w:instrText xml:space="preserve"> PAGE   \* MERGEFORMAT </w:instrText>
        </w:r>
        <w:r>
          <w:fldChar w:fldCharType="separate"/>
        </w:r>
        <w:r w:rsidR="008F6D4E">
          <w:rPr>
            <w:noProof/>
          </w:rPr>
          <w:t>1</w:t>
        </w:r>
        <w:r>
          <w:rPr>
            <w:noProof/>
          </w:rPr>
          <w:fldChar w:fldCharType="end"/>
        </w:r>
      </w:p>
    </w:sdtContent>
  </w:sdt>
  <w:p w:rsidR="00BD0C0D" w:rsidRDefault="00BD0C0D" w:rsidP="00BA20E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F2" w:rsidRDefault="005D7AF2" w:rsidP="00BA20E1">
      <w:pPr>
        <w:spacing w:line="240" w:lineRule="auto"/>
      </w:pPr>
      <w:r>
        <w:separator/>
      </w:r>
    </w:p>
  </w:footnote>
  <w:footnote w:type="continuationSeparator" w:id="0">
    <w:p w:rsidR="005D7AF2" w:rsidRDefault="005D7AF2" w:rsidP="00BA20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2A2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800C2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2F4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9CF7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A07F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48B6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84BB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F3E77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F851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28868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AE7D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4781B"/>
    <w:multiLevelType w:val="multilevel"/>
    <w:tmpl w:val="0C08FD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51106BA"/>
    <w:multiLevelType w:val="hybridMultilevel"/>
    <w:tmpl w:val="5DBA1368"/>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BB70485"/>
    <w:multiLevelType w:val="multilevel"/>
    <w:tmpl w:val="0C08FD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4B7F03"/>
    <w:multiLevelType w:val="hybridMultilevel"/>
    <w:tmpl w:val="E64A5768"/>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E5678BB"/>
    <w:multiLevelType w:val="multilevel"/>
    <w:tmpl w:val="DC70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67646"/>
    <w:multiLevelType w:val="hybridMultilevel"/>
    <w:tmpl w:val="573896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BFF5CDB"/>
    <w:multiLevelType w:val="hybridMultilevel"/>
    <w:tmpl w:val="FE4E81AE"/>
    <w:lvl w:ilvl="0" w:tplc="74E4B91E">
      <w:start w:val="1"/>
      <w:numFmt w:val="upp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40DF619A"/>
    <w:multiLevelType w:val="multilevel"/>
    <w:tmpl w:val="012A2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440400E8"/>
    <w:multiLevelType w:val="hybridMultilevel"/>
    <w:tmpl w:val="B1B03890"/>
    <w:lvl w:ilvl="0" w:tplc="022478E6">
      <w:start w:val="1"/>
      <w:numFmt w:val="upp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56013EBA"/>
    <w:multiLevelType w:val="hybridMultilevel"/>
    <w:tmpl w:val="34DEB68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15:restartNumberingAfterBreak="0">
    <w:nsid w:val="5C71157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886A56"/>
    <w:multiLevelType w:val="hybridMultilevel"/>
    <w:tmpl w:val="BF3E62F6"/>
    <w:lvl w:ilvl="0" w:tplc="20000015">
      <w:start w:val="1"/>
      <w:numFmt w:val="upp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63382EF4"/>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F61217"/>
    <w:multiLevelType w:val="multilevel"/>
    <w:tmpl w:val="403C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B5F64"/>
    <w:multiLevelType w:val="hybridMultilevel"/>
    <w:tmpl w:val="85D48A90"/>
    <w:lvl w:ilvl="0" w:tplc="291C995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33596"/>
    <w:multiLevelType w:val="hybridMultilevel"/>
    <w:tmpl w:val="FF504370"/>
    <w:lvl w:ilvl="0" w:tplc="DCE4AC84">
      <w:start w:val="1"/>
      <w:numFmt w:val="bullet"/>
      <w:pStyle w:val="ListParagraph"/>
      <w:lvlText w:val=""/>
      <w:lvlJc w:val="left"/>
      <w:pPr>
        <w:ind w:left="360" w:hanging="360"/>
      </w:pPr>
      <w:rPr>
        <w:rFonts w:ascii="Symbol" w:hAnsi="Symbol" w:hint="default"/>
        <w:color w:val="7FBEDB" w:themeColor="accent5"/>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27" w15:restartNumberingAfterBreak="0">
    <w:nsid w:val="77333B3E"/>
    <w:multiLevelType w:val="hybridMultilevel"/>
    <w:tmpl w:val="DE027756"/>
    <w:lvl w:ilvl="0" w:tplc="53B0112A">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6"/>
  </w:num>
  <w:num w:numId="13">
    <w:abstractNumId w:val="21"/>
  </w:num>
  <w:num w:numId="14">
    <w:abstractNumId w:val="11"/>
  </w:num>
  <w:num w:numId="15">
    <w:abstractNumId w:val="18"/>
  </w:num>
  <w:num w:numId="16">
    <w:abstractNumId w:val="13"/>
  </w:num>
  <w:num w:numId="17">
    <w:abstractNumId w:val="23"/>
  </w:num>
  <w:num w:numId="18">
    <w:abstractNumId w:val="14"/>
  </w:num>
  <w:num w:numId="19">
    <w:abstractNumId w:val="22"/>
  </w:num>
  <w:num w:numId="20">
    <w:abstractNumId w:val="17"/>
  </w:num>
  <w:num w:numId="21">
    <w:abstractNumId w:val="17"/>
  </w:num>
  <w:num w:numId="22">
    <w:abstractNumId w:val="17"/>
  </w:num>
  <w:num w:numId="23">
    <w:abstractNumId w:val="17"/>
  </w:num>
  <w:num w:numId="24">
    <w:abstractNumId w:val="19"/>
  </w:num>
  <w:num w:numId="25">
    <w:abstractNumId w:val="19"/>
  </w:num>
  <w:num w:numId="26">
    <w:abstractNumId w:val="12"/>
  </w:num>
  <w:num w:numId="27">
    <w:abstractNumId w:val="27"/>
  </w:num>
  <w:num w:numId="28">
    <w:abstractNumId w:val="16"/>
  </w:num>
  <w:num w:numId="29">
    <w:abstractNumId w:val="20"/>
  </w:num>
  <w:num w:numId="30">
    <w:abstractNumId w:val="15"/>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42"/>
    <w:rsid w:val="0002146D"/>
    <w:rsid w:val="00023B7F"/>
    <w:rsid w:val="00024418"/>
    <w:rsid w:val="00026095"/>
    <w:rsid w:val="000630AC"/>
    <w:rsid w:val="0007086D"/>
    <w:rsid w:val="00072454"/>
    <w:rsid w:val="0007433C"/>
    <w:rsid w:val="00077E6C"/>
    <w:rsid w:val="00080311"/>
    <w:rsid w:val="000B01FF"/>
    <w:rsid w:val="000C6444"/>
    <w:rsid w:val="000F0756"/>
    <w:rsid w:val="00146E2F"/>
    <w:rsid w:val="00172BE4"/>
    <w:rsid w:val="00174D42"/>
    <w:rsid w:val="001A6145"/>
    <w:rsid w:val="001E09E9"/>
    <w:rsid w:val="001F0E70"/>
    <w:rsid w:val="001F2FE0"/>
    <w:rsid w:val="0022262C"/>
    <w:rsid w:val="00225550"/>
    <w:rsid w:val="002711F6"/>
    <w:rsid w:val="0029425F"/>
    <w:rsid w:val="002A45FE"/>
    <w:rsid w:val="002B65EC"/>
    <w:rsid w:val="002C23B5"/>
    <w:rsid w:val="002D4B69"/>
    <w:rsid w:val="002D6203"/>
    <w:rsid w:val="002E57A8"/>
    <w:rsid w:val="002E789E"/>
    <w:rsid w:val="00314678"/>
    <w:rsid w:val="00320C40"/>
    <w:rsid w:val="00323738"/>
    <w:rsid w:val="0035758B"/>
    <w:rsid w:val="00376678"/>
    <w:rsid w:val="00387312"/>
    <w:rsid w:val="003A2B81"/>
    <w:rsid w:val="003B0D7B"/>
    <w:rsid w:val="003B152A"/>
    <w:rsid w:val="003B2BF2"/>
    <w:rsid w:val="003B58F4"/>
    <w:rsid w:val="003C23CA"/>
    <w:rsid w:val="003C713C"/>
    <w:rsid w:val="003D1F43"/>
    <w:rsid w:val="003E2206"/>
    <w:rsid w:val="003F026F"/>
    <w:rsid w:val="00423D7F"/>
    <w:rsid w:val="00466055"/>
    <w:rsid w:val="00484AAD"/>
    <w:rsid w:val="0049665C"/>
    <w:rsid w:val="004B390A"/>
    <w:rsid w:val="004D4977"/>
    <w:rsid w:val="004E7023"/>
    <w:rsid w:val="004F0911"/>
    <w:rsid w:val="004F2408"/>
    <w:rsid w:val="004F2B8B"/>
    <w:rsid w:val="00517B23"/>
    <w:rsid w:val="00534644"/>
    <w:rsid w:val="00561A2F"/>
    <w:rsid w:val="00577890"/>
    <w:rsid w:val="00585A1E"/>
    <w:rsid w:val="00596900"/>
    <w:rsid w:val="005A0BAB"/>
    <w:rsid w:val="005A6522"/>
    <w:rsid w:val="005B2E92"/>
    <w:rsid w:val="005D7AF2"/>
    <w:rsid w:val="005E1403"/>
    <w:rsid w:val="005E2B4F"/>
    <w:rsid w:val="006318B5"/>
    <w:rsid w:val="00655711"/>
    <w:rsid w:val="00690C81"/>
    <w:rsid w:val="006A1E0F"/>
    <w:rsid w:val="006B15AA"/>
    <w:rsid w:val="006C433A"/>
    <w:rsid w:val="006C7C6B"/>
    <w:rsid w:val="006D7BDF"/>
    <w:rsid w:val="006E567D"/>
    <w:rsid w:val="006F4DA7"/>
    <w:rsid w:val="006F508B"/>
    <w:rsid w:val="006F6786"/>
    <w:rsid w:val="007127E7"/>
    <w:rsid w:val="00715719"/>
    <w:rsid w:val="00744442"/>
    <w:rsid w:val="007618E9"/>
    <w:rsid w:val="00782694"/>
    <w:rsid w:val="007C6150"/>
    <w:rsid w:val="007D1CB5"/>
    <w:rsid w:val="00806AF2"/>
    <w:rsid w:val="0082350C"/>
    <w:rsid w:val="008413EC"/>
    <w:rsid w:val="00850032"/>
    <w:rsid w:val="00857838"/>
    <w:rsid w:val="00873143"/>
    <w:rsid w:val="008811B8"/>
    <w:rsid w:val="00886D92"/>
    <w:rsid w:val="008914FE"/>
    <w:rsid w:val="00893F4F"/>
    <w:rsid w:val="00894334"/>
    <w:rsid w:val="008979D0"/>
    <w:rsid w:val="008B6BC1"/>
    <w:rsid w:val="008F6D4E"/>
    <w:rsid w:val="009057CA"/>
    <w:rsid w:val="0093483D"/>
    <w:rsid w:val="009536C8"/>
    <w:rsid w:val="00967ABB"/>
    <w:rsid w:val="00984C26"/>
    <w:rsid w:val="009C4D21"/>
    <w:rsid w:val="00A00AF1"/>
    <w:rsid w:val="00A505D2"/>
    <w:rsid w:val="00A55386"/>
    <w:rsid w:val="00A608BD"/>
    <w:rsid w:val="00A63637"/>
    <w:rsid w:val="00A722F3"/>
    <w:rsid w:val="00A839B0"/>
    <w:rsid w:val="00AA32FD"/>
    <w:rsid w:val="00AB1328"/>
    <w:rsid w:val="00AB5FEB"/>
    <w:rsid w:val="00AE7CDE"/>
    <w:rsid w:val="00AF16C2"/>
    <w:rsid w:val="00B03705"/>
    <w:rsid w:val="00B11550"/>
    <w:rsid w:val="00B47D8A"/>
    <w:rsid w:val="00B55C44"/>
    <w:rsid w:val="00B64112"/>
    <w:rsid w:val="00B73E30"/>
    <w:rsid w:val="00B90C17"/>
    <w:rsid w:val="00B9647B"/>
    <w:rsid w:val="00B97BCE"/>
    <w:rsid w:val="00BA0698"/>
    <w:rsid w:val="00BA20E1"/>
    <w:rsid w:val="00BC1476"/>
    <w:rsid w:val="00BC31EE"/>
    <w:rsid w:val="00BD0C0D"/>
    <w:rsid w:val="00BD1DBE"/>
    <w:rsid w:val="00BD698E"/>
    <w:rsid w:val="00BF31A4"/>
    <w:rsid w:val="00C206C3"/>
    <w:rsid w:val="00C33871"/>
    <w:rsid w:val="00C44FA5"/>
    <w:rsid w:val="00C7660A"/>
    <w:rsid w:val="00C817C7"/>
    <w:rsid w:val="00CA262E"/>
    <w:rsid w:val="00CB0717"/>
    <w:rsid w:val="00CD6210"/>
    <w:rsid w:val="00D05DF0"/>
    <w:rsid w:val="00D1341F"/>
    <w:rsid w:val="00D22318"/>
    <w:rsid w:val="00D27D2C"/>
    <w:rsid w:val="00D31F84"/>
    <w:rsid w:val="00D50055"/>
    <w:rsid w:val="00D518D6"/>
    <w:rsid w:val="00D6013D"/>
    <w:rsid w:val="00D8138F"/>
    <w:rsid w:val="00D869A7"/>
    <w:rsid w:val="00D976B9"/>
    <w:rsid w:val="00DA7801"/>
    <w:rsid w:val="00DE5ABB"/>
    <w:rsid w:val="00E008A6"/>
    <w:rsid w:val="00E00A85"/>
    <w:rsid w:val="00E14021"/>
    <w:rsid w:val="00E172C4"/>
    <w:rsid w:val="00E451E9"/>
    <w:rsid w:val="00E577AE"/>
    <w:rsid w:val="00E60D68"/>
    <w:rsid w:val="00E70C64"/>
    <w:rsid w:val="00E743C3"/>
    <w:rsid w:val="00EA5DB7"/>
    <w:rsid w:val="00EB263C"/>
    <w:rsid w:val="00EB3ACC"/>
    <w:rsid w:val="00EC49D5"/>
    <w:rsid w:val="00EC4BB4"/>
    <w:rsid w:val="00ED2977"/>
    <w:rsid w:val="00EE75DD"/>
    <w:rsid w:val="00EF070C"/>
    <w:rsid w:val="00F013EB"/>
    <w:rsid w:val="00F11542"/>
    <w:rsid w:val="00F1454E"/>
    <w:rsid w:val="00F642C4"/>
    <w:rsid w:val="00F80647"/>
    <w:rsid w:val="00F80FB1"/>
    <w:rsid w:val="00F91446"/>
    <w:rsid w:val="00F97F96"/>
    <w:rsid w:val="00FB4C4D"/>
    <w:rsid w:val="00FC19A0"/>
    <w:rsid w:val="00FD59B4"/>
    <w:rsid w:val="00FD7307"/>
    <w:rsid w:val="00FF31AF"/>
    <w:rsid w:val="00FF38D6"/>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323069"/>
  <w15:chartTrackingRefBased/>
  <w15:docId w15:val="{A72FC6DF-6992-4BC7-9B49-CD584720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AF"/>
    <w:pPr>
      <w:spacing w:after="0" w:line="260" w:lineRule="exact"/>
    </w:pPr>
    <w:rPr>
      <w:rFonts w:ascii="Avenir LT Std 45 Book" w:hAnsi="Avenir LT Std 45 Book" w:cs="Times New Roman"/>
      <w:color w:val="4B4B4B" w:themeColor="background2"/>
      <w:sz w:val="20"/>
      <w:szCs w:val="20"/>
      <w:lang w:val="nl-NL" w:eastAsia="nl-NL"/>
    </w:rPr>
  </w:style>
  <w:style w:type="paragraph" w:styleId="Heading1">
    <w:name w:val="heading 1"/>
    <w:basedOn w:val="Normal"/>
    <w:next w:val="Normal"/>
    <w:link w:val="Heading1Char"/>
    <w:autoRedefine/>
    <w:uiPriority w:val="9"/>
    <w:qFormat/>
    <w:rsid w:val="006A1E0F"/>
    <w:pPr>
      <w:keepNext/>
      <w:keepLines/>
      <w:spacing w:before="120" w:after="40" w:line="320" w:lineRule="exact"/>
      <w:jc w:val="center"/>
      <w:outlineLvl w:val="0"/>
    </w:pPr>
    <w:rPr>
      <w:rFonts w:asciiTheme="majorHAnsi" w:eastAsiaTheme="majorEastAsia" w:hAnsiTheme="majorHAnsi" w:cstheme="majorBidi"/>
      <w:caps/>
      <w:color w:val="00666B" w:themeColor="text2"/>
      <w:sz w:val="32"/>
      <w:szCs w:val="32"/>
    </w:rPr>
  </w:style>
  <w:style w:type="paragraph" w:styleId="Heading2">
    <w:name w:val="heading 2"/>
    <w:basedOn w:val="Normal"/>
    <w:next w:val="Normal"/>
    <w:link w:val="Heading2Char"/>
    <w:autoRedefine/>
    <w:uiPriority w:val="9"/>
    <w:unhideWhenUsed/>
    <w:qFormat/>
    <w:rsid w:val="00F80647"/>
    <w:pPr>
      <w:keepNext/>
      <w:keepLines/>
      <w:numPr>
        <w:numId w:val="32"/>
      </w:numPr>
      <w:spacing w:before="80" w:after="40"/>
      <w:ind w:left="0" w:firstLine="0"/>
      <w:jc w:val="center"/>
      <w:outlineLvl w:val="1"/>
    </w:pPr>
    <w:rPr>
      <w:rFonts w:ascii="Chalet-NewYorkNineteenSixty" w:eastAsiaTheme="majorEastAsia" w:hAnsi="Chalet-NewYorkNineteenSixty" w:cstheme="majorBidi"/>
      <w:caps/>
      <w:color w:val="00666B" w:themeColor="text2"/>
      <w:sz w:val="26"/>
      <w:szCs w:val="26"/>
    </w:rPr>
  </w:style>
  <w:style w:type="paragraph" w:styleId="Heading3">
    <w:name w:val="heading 3"/>
    <w:basedOn w:val="Normal"/>
    <w:next w:val="Normal"/>
    <w:link w:val="Heading3Char"/>
    <w:autoRedefine/>
    <w:uiPriority w:val="9"/>
    <w:unhideWhenUsed/>
    <w:qFormat/>
    <w:rsid w:val="000630AC"/>
    <w:pPr>
      <w:keepNext/>
      <w:keepLines/>
      <w:spacing w:before="80"/>
      <w:outlineLvl w:val="2"/>
    </w:pPr>
    <w:rPr>
      <w:rFonts w:asciiTheme="majorHAnsi" w:eastAsiaTheme="majorEastAsia" w:hAnsiTheme="majorHAnsi" w:cstheme="majorBidi"/>
      <w:sz w:val="22"/>
      <w:szCs w:val="24"/>
    </w:rPr>
  </w:style>
  <w:style w:type="paragraph" w:styleId="Heading4">
    <w:name w:val="heading 4"/>
    <w:basedOn w:val="Normal"/>
    <w:next w:val="Normal"/>
    <w:link w:val="Heading4Char"/>
    <w:autoRedefine/>
    <w:uiPriority w:val="9"/>
    <w:unhideWhenUsed/>
    <w:qFormat/>
    <w:rsid w:val="000630AC"/>
    <w:pPr>
      <w:keepNext/>
      <w:keepLines/>
      <w:outlineLvl w:val="3"/>
    </w:pPr>
    <w:rPr>
      <w:rFonts w:asciiTheme="majorHAnsi" w:eastAsiaTheme="majorEastAsia" w:hAnsiTheme="majorHAnsi" w:cstheme="majorBidi"/>
      <w:iCs/>
      <w:color w:val="00666B" w:themeColor="text2"/>
    </w:rPr>
  </w:style>
  <w:style w:type="paragraph" w:styleId="Heading5">
    <w:name w:val="heading 5"/>
    <w:basedOn w:val="Normal"/>
    <w:next w:val="Normal"/>
    <w:link w:val="Heading5Char"/>
    <w:uiPriority w:val="9"/>
    <w:semiHidden/>
    <w:unhideWhenUsed/>
    <w:qFormat/>
    <w:rsid w:val="00FF31AF"/>
    <w:pPr>
      <w:keepNext/>
      <w:keepLines/>
      <w:spacing w:before="40"/>
      <w:outlineLvl w:val="4"/>
    </w:pPr>
    <w:rPr>
      <w:rFonts w:asciiTheme="majorHAnsi" w:eastAsiaTheme="majorEastAsia" w:hAnsiTheme="majorHAnsi" w:cstheme="majorBidi"/>
      <w:color w:val="004C50" w:themeColor="accent1" w:themeShade="BF"/>
    </w:rPr>
  </w:style>
  <w:style w:type="paragraph" w:styleId="Heading6">
    <w:name w:val="heading 6"/>
    <w:basedOn w:val="Normal"/>
    <w:next w:val="Normal"/>
    <w:link w:val="Heading6Char"/>
    <w:uiPriority w:val="9"/>
    <w:semiHidden/>
    <w:unhideWhenUsed/>
    <w:qFormat/>
    <w:rsid w:val="00FF31AF"/>
    <w:pPr>
      <w:keepNext/>
      <w:keepLines/>
      <w:spacing w:before="40"/>
      <w:outlineLvl w:val="5"/>
    </w:pPr>
    <w:rPr>
      <w:rFonts w:asciiTheme="majorHAnsi" w:eastAsiaTheme="majorEastAsia" w:hAnsiTheme="majorHAnsi" w:cstheme="majorBidi"/>
      <w:color w:val="003235" w:themeColor="accent1" w:themeShade="7F"/>
    </w:rPr>
  </w:style>
  <w:style w:type="paragraph" w:styleId="Heading7">
    <w:name w:val="heading 7"/>
    <w:basedOn w:val="Normal"/>
    <w:next w:val="Normal"/>
    <w:link w:val="Heading7Char"/>
    <w:uiPriority w:val="9"/>
    <w:semiHidden/>
    <w:unhideWhenUsed/>
    <w:qFormat/>
    <w:rsid w:val="00FF31AF"/>
    <w:pPr>
      <w:keepNext/>
      <w:keepLines/>
      <w:spacing w:before="40"/>
      <w:outlineLvl w:val="6"/>
    </w:pPr>
    <w:rPr>
      <w:rFonts w:asciiTheme="majorHAnsi" w:eastAsiaTheme="majorEastAsia" w:hAnsiTheme="majorHAnsi" w:cstheme="majorBidi"/>
      <w:i/>
      <w:iCs/>
      <w:color w:val="003235" w:themeColor="accent1" w:themeShade="7F"/>
    </w:rPr>
  </w:style>
  <w:style w:type="paragraph" w:styleId="Heading8">
    <w:name w:val="heading 8"/>
    <w:basedOn w:val="Normal"/>
    <w:next w:val="Normal"/>
    <w:link w:val="Heading8Char"/>
    <w:uiPriority w:val="9"/>
    <w:semiHidden/>
    <w:unhideWhenUsed/>
    <w:qFormat/>
    <w:rsid w:val="00FF31AF"/>
    <w:pPr>
      <w:keepNext/>
      <w:keepLines/>
      <w:spacing w:before="40"/>
      <w:outlineLvl w:val="7"/>
    </w:pPr>
    <w:rPr>
      <w:rFonts w:asciiTheme="majorHAnsi" w:eastAsiaTheme="majorEastAsia" w:hAnsiTheme="majorHAnsi" w:cstheme="majorBidi"/>
      <w:color w:val="434343" w:themeColor="text1" w:themeTint="D8"/>
      <w:sz w:val="21"/>
      <w:szCs w:val="21"/>
    </w:rPr>
  </w:style>
  <w:style w:type="paragraph" w:styleId="Heading9">
    <w:name w:val="heading 9"/>
    <w:basedOn w:val="Normal"/>
    <w:next w:val="Normal"/>
    <w:link w:val="Heading9Char"/>
    <w:uiPriority w:val="9"/>
    <w:semiHidden/>
    <w:unhideWhenUsed/>
    <w:qFormat/>
    <w:rsid w:val="00FF31AF"/>
    <w:pPr>
      <w:keepNext/>
      <w:keepLines/>
      <w:spacing w:before="40"/>
      <w:outlineLvl w:val="8"/>
    </w:pPr>
    <w:rPr>
      <w:rFonts w:asciiTheme="majorHAnsi" w:eastAsiaTheme="majorEastAsia" w:hAnsiTheme="majorHAnsi" w:cstheme="majorBidi"/>
      <w:i/>
      <w:iCs/>
      <w:color w:val="43434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E0F"/>
    <w:rPr>
      <w:rFonts w:asciiTheme="majorHAnsi" w:eastAsiaTheme="majorEastAsia" w:hAnsiTheme="majorHAnsi" w:cstheme="majorBidi"/>
      <w:caps/>
      <w:color w:val="00666B" w:themeColor="text2"/>
      <w:sz w:val="32"/>
      <w:szCs w:val="32"/>
      <w:lang w:val="nl-NL" w:eastAsia="nl-NL"/>
    </w:rPr>
  </w:style>
  <w:style w:type="character" w:customStyle="1" w:styleId="Heading2Char">
    <w:name w:val="Heading 2 Char"/>
    <w:basedOn w:val="DefaultParagraphFont"/>
    <w:link w:val="Heading2"/>
    <w:uiPriority w:val="9"/>
    <w:rsid w:val="00F80647"/>
    <w:rPr>
      <w:rFonts w:ascii="Chalet-NewYorkNineteenSixty" w:eastAsiaTheme="majorEastAsia" w:hAnsi="Chalet-NewYorkNineteenSixty" w:cstheme="majorBidi"/>
      <w:caps/>
      <w:color w:val="00666B" w:themeColor="text2"/>
      <w:sz w:val="26"/>
      <w:szCs w:val="26"/>
      <w:lang w:val="nl-NL" w:eastAsia="nl-NL"/>
    </w:rPr>
  </w:style>
  <w:style w:type="character" w:customStyle="1" w:styleId="Heading3Char">
    <w:name w:val="Heading 3 Char"/>
    <w:basedOn w:val="DefaultParagraphFont"/>
    <w:link w:val="Heading3"/>
    <w:uiPriority w:val="9"/>
    <w:rsid w:val="000630AC"/>
    <w:rPr>
      <w:rFonts w:asciiTheme="majorHAnsi" w:eastAsiaTheme="majorEastAsia" w:hAnsiTheme="majorHAnsi" w:cstheme="majorBidi"/>
      <w:color w:val="4B4B4B" w:themeColor="background2"/>
      <w:szCs w:val="24"/>
      <w:lang w:val="nl-NL" w:eastAsia="nl-NL"/>
    </w:rPr>
  </w:style>
  <w:style w:type="paragraph" w:styleId="Footer">
    <w:name w:val="footer"/>
    <w:basedOn w:val="Normal"/>
    <w:link w:val="FooterChar"/>
    <w:autoRedefine/>
    <w:uiPriority w:val="99"/>
    <w:unhideWhenUsed/>
    <w:qFormat/>
    <w:rsid w:val="00D6013D"/>
    <w:pPr>
      <w:tabs>
        <w:tab w:val="center" w:pos="4536"/>
        <w:tab w:val="right" w:pos="9072"/>
      </w:tabs>
      <w:spacing w:line="240" w:lineRule="auto"/>
    </w:pPr>
    <w:rPr>
      <w:sz w:val="18"/>
    </w:rPr>
  </w:style>
  <w:style w:type="character" w:customStyle="1" w:styleId="Heading4Char">
    <w:name w:val="Heading 4 Char"/>
    <w:basedOn w:val="DefaultParagraphFont"/>
    <w:link w:val="Heading4"/>
    <w:uiPriority w:val="9"/>
    <w:rsid w:val="000630AC"/>
    <w:rPr>
      <w:rFonts w:asciiTheme="majorHAnsi" w:eastAsiaTheme="majorEastAsia" w:hAnsiTheme="majorHAnsi" w:cstheme="majorBidi"/>
      <w:iCs/>
      <w:color w:val="00666B" w:themeColor="text2"/>
      <w:sz w:val="20"/>
      <w:szCs w:val="20"/>
      <w:lang w:val="nl-NL" w:eastAsia="nl-NL"/>
    </w:rPr>
  </w:style>
  <w:style w:type="character" w:customStyle="1" w:styleId="FooterChar">
    <w:name w:val="Footer Char"/>
    <w:basedOn w:val="DefaultParagraphFont"/>
    <w:link w:val="Footer"/>
    <w:uiPriority w:val="99"/>
    <w:rsid w:val="00D6013D"/>
    <w:rPr>
      <w:rFonts w:ascii="Avenir LT Std 45 Book" w:hAnsi="Avenir LT Std 45 Book" w:cs="Times New Roman"/>
      <w:color w:val="4B4B4B" w:themeColor="background2"/>
      <w:sz w:val="18"/>
      <w:szCs w:val="20"/>
      <w:lang w:val="nl-NL" w:eastAsia="nl-NL"/>
    </w:rPr>
  </w:style>
  <w:style w:type="paragraph" w:styleId="Header">
    <w:name w:val="header"/>
    <w:basedOn w:val="Normal"/>
    <w:link w:val="HeaderChar"/>
    <w:autoRedefine/>
    <w:uiPriority w:val="99"/>
    <w:unhideWhenUsed/>
    <w:qFormat/>
    <w:rsid w:val="00BA20E1"/>
    <w:pPr>
      <w:pBdr>
        <w:bottom w:val="single" w:sz="2" w:space="1" w:color="00666B" w:themeColor="text2"/>
      </w:pBdr>
      <w:tabs>
        <w:tab w:val="center" w:pos="4536"/>
        <w:tab w:val="right" w:pos="9072"/>
      </w:tabs>
      <w:spacing w:line="240" w:lineRule="auto"/>
      <w:jc w:val="right"/>
    </w:pPr>
    <w:rPr>
      <w:sz w:val="18"/>
    </w:rPr>
  </w:style>
  <w:style w:type="character" w:customStyle="1" w:styleId="HeaderChar">
    <w:name w:val="Header Char"/>
    <w:basedOn w:val="DefaultParagraphFont"/>
    <w:link w:val="Header"/>
    <w:uiPriority w:val="99"/>
    <w:rsid w:val="00BA20E1"/>
    <w:rPr>
      <w:rFonts w:ascii="Avenir LT Std 45 Book" w:hAnsi="Avenir LT Std 45 Book" w:cs="Times New Roman"/>
      <w:color w:val="4B4B4B" w:themeColor="background2"/>
      <w:sz w:val="18"/>
      <w:szCs w:val="20"/>
      <w:lang w:val="nl-NL" w:eastAsia="nl-NL"/>
    </w:rPr>
  </w:style>
  <w:style w:type="paragraph" w:customStyle="1" w:styleId="TitelBalk">
    <w:name w:val="&gt; Titel Balk"/>
    <w:autoRedefine/>
    <w:qFormat/>
    <w:rsid w:val="00FF31AF"/>
    <w:pPr>
      <w:pBdr>
        <w:top w:val="single" w:sz="24" w:space="1" w:color="008A94" w:themeColor="accent4"/>
        <w:left w:val="single" w:sz="24" w:space="2" w:color="008A94" w:themeColor="accent4"/>
        <w:bottom w:val="single" w:sz="24" w:space="1" w:color="008A94" w:themeColor="accent4"/>
        <w:right w:val="single" w:sz="24" w:space="2" w:color="008A94" w:themeColor="accent4"/>
      </w:pBdr>
      <w:shd w:val="solid" w:color="008A94" w:themeColor="accent4" w:fill="008A94" w:themeFill="accent4"/>
      <w:spacing w:after="0" w:line="280" w:lineRule="exact"/>
      <w:ind w:left="113" w:right="113"/>
      <w:contextualSpacing/>
    </w:pPr>
    <w:rPr>
      <w:rFonts w:asciiTheme="majorHAnsi" w:eastAsiaTheme="majorEastAsia" w:hAnsiTheme="majorHAnsi" w:cstheme="majorBidi"/>
      <w:iCs/>
      <w:color w:val="FFFFFF" w:themeColor="background1"/>
      <w:sz w:val="24"/>
      <w:lang w:val="nl-NL"/>
    </w:rPr>
  </w:style>
  <w:style w:type="paragraph" w:customStyle="1" w:styleId="CursiefOutline">
    <w:name w:val="&gt; Cursief Outline"/>
    <w:basedOn w:val="Normal"/>
    <w:next w:val="Normal"/>
    <w:qFormat/>
    <w:rsid w:val="00EC49D5"/>
    <w:pPr>
      <w:pBdr>
        <w:top w:val="single" w:sz="4" w:space="6" w:color="00666B" w:themeColor="accent1"/>
        <w:left w:val="single" w:sz="4" w:space="10" w:color="00666B" w:themeColor="accent1"/>
        <w:bottom w:val="single" w:sz="4" w:space="8" w:color="00666B" w:themeColor="accent1"/>
        <w:right w:val="single" w:sz="4" w:space="0" w:color="00666B" w:themeColor="accent1"/>
      </w:pBdr>
      <w:contextualSpacing/>
    </w:pPr>
    <w:rPr>
      <w:rFonts w:asciiTheme="minorHAnsi" w:eastAsiaTheme="minorHAnsi" w:hAnsiTheme="minorHAnsi" w:cstheme="minorBidi"/>
      <w:i/>
      <w:spacing w:val="6"/>
      <w:szCs w:val="22"/>
      <w:lang w:eastAsia="en-US"/>
    </w:rPr>
  </w:style>
  <w:style w:type="paragraph" w:customStyle="1" w:styleId="Disclaimer">
    <w:name w:val="&gt; Disclaimer"/>
    <w:basedOn w:val="Normal"/>
    <w:next w:val="Normal"/>
    <w:qFormat/>
    <w:rsid w:val="00EC49D5"/>
    <w:pPr>
      <w:spacing w:line="200" w:lineRule="exact"/>
      <w:contextualSpacing/>
    </w:pPr>
    <w:rPr>
      <w:rFonts w:asciiTheme="minorHAnsi" w:eastAsiaTheme="minorHAnsi" w:hAnsiTheme="minorHAnsi" w:cstheme="minorBidi"/>
      <w:sz w:val="18"/>
      <w:szCs w:val="22"/>
      <w:lang w:eastAsia="en-US"/>
    </w:rPr>
  </w:style>
  <w:style w:type="paragraph" w:styleId="ListParagraph">
    <w:name w:val="List Paragraph"/>
    <w:basedOn w:val="Normal"/>
    <w:autoRedefine/>
    <w:uiPriority w:val="34"/>
    <w:qFormat/>
    <w:rsid w:val="00EC49D5"/>
    <w:pPr>
      <w:numPr>
        <w:numId w:val="12"/>
      </w:numPr>
      <w:ind w:left="357" w:hanging="357"/>
      <w:contextualSpacing/>
    </w:pPr>
    <w:rPr>
      <w:rFonts w:asciiTheme="minorHAnsi" w:eastAsiaTheme="minorHAnsi" w:hAnsiTheme="minorHAnsi" w:cstheme="minorBidi"/>
      <w:szCs w:val="22"/>
      <w:lang w:eastAsia="en-US"/>
    </w:rPr>
  </w:style>
  <w:style w:type="character" w:customStyle="1" w:styleId="Heading5Char">
    <w:name w:val="Heading 5 Char"/>
    <w:basedOn w:val="DefaultParagraphFont"/>
    <w:link w:val="Heading5"/>
    <w:uiPriority w:val="9"/>
    <w:semiHidden/>
    <w:rsid w:val="00FF31AF"/>
    <w:rPr>
      <w:rFonts w:asciiTheme="majorHAnsi" w:eastAsiaTheme="majorEastAsia" w:hAnsiTheme="majorHAnsi" w:cstheme="majorBidi"/>
      <w:color w:val="004C50" w:themeColor="accent1" w:themeShade="BF"/>
      <w:sz w:val="20"/>
      <w:szCs w:val="20"/>
      <w:lang w:val="nl-NL" w:eastAsia="nl-NL"/>
    </w:rPr>
  </w:style>
  <w:style w:type="character" w:customStyle="1" w:styleId="Heading6Char">
    <w:name w:val="Heading 6 Char"/>
    <w:basedOn w:val="DefaultParagraphFont"/>
    <w:link w:val="Heading6"/>
    <w:uiPriority w:val="9"/>
    <w:semiHidden/>
    <w:rsid w:val="00FF31AF"/>
    <w:rPr>
      <w:rFonts w:asciiTheme="majorHAnsi" w:eastAsiaTheme="majorEastAsia" w:hAnsiTheme="majorHAnsi" w:cstheme="majorBidi"/>
      <w:color w:val="003235" w:themeColor="accent1" w:themeShade="7F"/>
      <w:sz w:val="20"/>
      <w:szCs w:val="20"/>
      <w:lang w:val="nl-NL" w:eastAsia="nl-NL"/>
    </w:rPr>
  </w:style>
  <w:style w:type="character" w:customStyle="1" w:styleId="Heading7Char">
    <w:name w:val="Heading 7 Char"/>
    <w:basedOn w:val="DefaultParagraphFont"/>
    <w:link w:val="Heading7"/>
    <w:uiPriority w:val="9"/>
    <w:semiHidden/>
    <w:rsid w:val="00FF31AF"/>
    <w:rPr>
      <w:rFonts w:asciiTheme="majorHAnsi" w:eastAsiaTheme="majorEastAsia" w:hAnsiTheme="majorHAnsi" w:cstheme="majorBidi"/>
      <w:i/>
      <w:iCs/>
      <w:color w:val="003235" w:themeColor="accent1" w:themeShade="7F"/>
      <w:sz w:val="20"/>
      <w:szCs w:val="20"/>
      <w:lang w:val="nl-NL" w:eastAsia="nl-NL"/>
    </w:rPr>
  </w:style>
  <w:style w:type="character" w:customStyle="1" w:styleId="Heading8Char">
    <w:name w:val="Heading 8 Char"/>
    <w:basedOn w:val="DefaultParagraphFont"/>
    <w:link w:val="Heading8"/>
    <w:uiPriority w:val="9"/>
    <w:semiHidden/>
    <w:rsid w:val="00FF31AF"/>
    <w:rPr>
      <w:rFonts w:asciiTheme="majorHAnsi" w:eastAsiaTheme="majorEastAsia" w:hAnsiTheme="majorHAnsi" w:cstheme="majorBidi"/>
      <w:color w:val="434343" w:themeColor="text1" w:themeTint="D8"/>
      <w:sz w:val="21"/>
      <w:szCs w:val="21"/>
      <w:lang w:val="nl-NL" w:eastAsia="nl-NL"/>
    </w:rPr>
  </w:style>
  <w:style w:type="character" w:customStyle="1" w:styleId="Heading9Char">
    <w:name w:val="Heading 9 Char"/>
    <w:basedOn w:val="DefaultParagraphFont"/>
    <w:link w:val="Heading9"/>
    <w:uiPriority w:val="9"/>
    <w:semiHidden/>
    <w:rsid w:val="00FF31AF"/>
    <w:rPr>
      <w:rFonts w:asciiTheme="majorHAnsi" w:eastAsiaTheme="majorEastAsia" w:hAnsiTheme="majorHAnsi" w:cstheme="majorBidi"/>
      <w:i/>
      <w:iCs/>
      <w:color w:val="434343" w:themeColor="text1" w:themeTint="D8"/>
      <w:sz w:val="21"/>
      <w:szCs w:val="21"/>
      <w:lang w:val="nl-NL" w:eastAsia="nl-NL"/>
    </w:rPr>
  </w:style>
  <w:style w:type="paragraph" w:customStyle="1" w:styleId="Default">
    <w:name w:val="Default"/>
    <w:rsid w:val="00174D42"/>
    <w:pPr>
      <w:autoSpaceDE w:val="0"/>
      <w:autoSpaceDN w:val="0"/>
      <w:adjustRightInd w:val="0"/>
      <w:spacing w:after="0" w:line="240" w:lineRule="auto"/>
    </w:pPr>
    <w:rPr>
      <w:rFonts w:ascii="Calibri" w:eastAsiaTheme="minorHAnsi" w:hAnsi="Calibri" w:cs="Calibri"/>
      <w:color w:val="000000"/>
      <w:sz w:val="24"/>
      <w:szCs w:val="24"/>
    </w:rPr>
  </w:style>
  <w:style w:type="paragraph" w:styleId="FootnoteText">
    <w:name w:val="footnote text"/>
    <w:basedOn w:val="Normal"/>
    <w:link w:val="FootnoteTextChar"/>
    <w:uiPriority w:val="99"/>
    <w:semiHidden/>
    <w:unhideWhenUsed/>
    <w:rsid w:val="00174D42"/>
    <w:pPr>
      <w:spacing w:line="240" w:lineRule="auto"/>
    </w:pPr>
    <w:rPr>
      <w:rFonts w:asciiTheme="minorHAnsi" w:eastAsiaTheme="minorHAnsi" w:hAnsiTheme="minorHAnsi" w:cstheme="minorBidi"/>
      <w:color w:val="auto"/>
      <w:lang w:val="en-US" w:eastAsia="en-US"/>
    </w:rPr>
  </w:style>
  <w:style w:type="character" w:customStyle="1" w:styleId="FootnoteTextChar">
    <w:name w:val="Footnote Text Char"/>
    <w:basedOn w:val="DefaultParagraphFont"/>
    <w:link w:val="FootnoteText"/>
    <w:uiPriority w:val="99"/>
    <w:semiHidden/>
    <w:rsid w:val="00174D42"/>
    <w:rPr>
      <w:rFonts w:eastAsiaTheme="minorHAnsi"/>
      <w:sz w:val="20"/>
      <w:szCs w:val="20"/>
    </w:rPr>
  </w:style>
  <w:style w:type="character" w:styleId="FootnoteReference">
    <w:name w:val="footnote reference"/>
    <w:basedOn w:val="DefaultParagraphFont"/>
    <w:uiPriority w:val="99"/>
    <w:semiHidden/>
    <w:unhideWhenUsed/>
    <w:rsid w:val="00174D42"/>
    <w:rPr>
      <w:vertAlign w:val="superscript"/>
    </w:rPr>
  </w:style>
  <w:style w:type="table" w:styleId="TableGrid">
    <w:name w:val="Table Grid"/>
    <w:basedOn w:val="TableNormal"/>
    <w:uiPriority w:val="39"/>
    <w:rsid w:val="006A1E0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307"/>
    <w:rPr>
      <w:sz w:val="16"/>
      <w:szCs w:val="16"/>
    </w:rPr>
  </w:style>
  <w:style w:type="paragraph" w:styleId="CommentText">
    <w:name w:val="annotation text"/>
    <w:basedOn w:val="Normal"/>
    <w:link w:val="CommentTextChar"/>
    <w:uiPriority w:val="99"/>
    <w:unhideWhenUsed/>
    <w:rsid w:val="00FD7307"/>
    <w:pPr>
      <w:spacing w:line="240" w:lineRule="auto"/>
    </w:pPr>
  </w:style>
  <w:style w:type="character" w:customStyle="1" w:styleId="CommentTextChar">
    <w:name w:val="Comment Text Char"/>
    <w:basedOn w:val="DefaultParagraphFont"/>
    <w:link w:val="CommentText"/>
    <w:uiPriority w:val="99"/>
    <w:rsid w:val="00FD7307"/>
    <w:rPr>
      <w:rFonts w:ascii="Avenir LT Std 45 Book" w:hAnsi="Avenir LT Std 45 Book" w:cs="Times New Roman"/>
      <w:color w:val="4B4B4B" w:themeColor="background2"/>
      <w:sz w:val="20"/>
      <w:szCs w:val="20"/>
      <w:lang w:val="nl-NL" w:eastAsia="nl-NL"/>
    </w:rPr>
  </w:style>
  <w:style w:type="paragraph" w:styleId="CommentSubject">
    <w:name w:val="annotation subject"/>
    <w:basedOn w:val="CommentText"/>
    <w:next w:val="CommentText"/>
    <w:link w:val="CommentSubjectChar"/>
    <w:uiPriority w:val="99"/>
    <w:semiHidden/>
    <w:unhideWhenUsed/>
    <w:rsid w:val="00FD7307"/>
    <w:rPr>
      <w:b/>
      <w:bCs/>
    </w:rPr>
  </w:style>
  <w:style w:type="character" w:customStyle="1" w:styleId="CommentSubjectChar">
    <w:name w:val="Comment Subject Char"/>
    <w:basedOn w:val="CommentTextChar"/>
    <w:link w:val="CommentSubject"/>
    <w:uiPriority w:val="99"/>
    <w:semiHidden/>
    <w:rsid w:val="00FD7307"/>
    <w:rPr>
      <w:rFonts w:ascii="Avenir LT Std 45 Book" w:hAnsi="Avenir LT Std 45 Book" w:cs="Times New Roman"/>
      <w:b/>
      <w:bCs/>
      <w:color w:val="4B4B4B" w:themeColor="background2"/>
      <w:sz w:val="20"/>
      <w:szCs w:val="20"/>
      <w:lang w:val="nl-NL" w:eastAsia="nl-NL"/>
    </w:rPr>
  </w:style>
  <w:style w:type="paragraph" w:styleId="BalloonText">
    <w:name w:val="Balloon Text"/>
    <w:basedOn w:val="Normal"/>
    <w:link w:val="BalloonTextChar"/>
    <w:uiPriority w:val="99"/>
    <w:semiHidden/>
    <w:unhideWhenUsed/>
    <w:rsid w:val="00077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6C"/>
    <w:rPr>
      <w:rFonts w:ascii="Segoe UI" w:hAnsi="Segoe UI" w:cs="Segoe UI"/>
      <w:color w:val="4B4B4B" w:themeColor="background2"/>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88321">
      <w:bodyDiv w:val="1"/>
      <w:marLeft w:val="0"/>
      <w:marRight w:val="0"/>
      <w:marTop w:val="0"/>
      <w:marBottom w:val="0"/>
      <w:divBdr>
        <w:top w:val="none" w:sz="0" w:space="0" w:color="auto"/>
        <w:left w:val="none" w:sz="0" w:space="0" w:color="auto"/>
        <w:bottom w:val="none" w:sz="0" w:space="0" w:color="auto"/>
        <w:right w:val="none" w:sz="0" w:space="0" w:color="auto"/>
      </w:divBdr>
    </w:div>
    <w:div w:id="822550490">
      <w:bodyDiv w:val="1"/>
      <w:marLeft w:val="0"/>
      <w:marRight w:val="0"/>
      <w:marTop w:val="0"/>
      <w:marBottom w:val="0"/>
      <w:divBdr>
        <w:top w:val="none" w:sz="0" w:space="0" w:color="auto"/>
        <w:left w:val="none" w:sz="0" w:space="0" w:color="auto"/>
        <w:bottom w:val="none" w:sz="0" w:space="0" w:color="auto"/>
        <w:right w:val="none" w:sz="0" w:space="0" w:color="auto"/>
      </w:divBdr>
    </w:div>
    <w:div w:id="1120997158">
      <w:bodyDiv w:val="1"/>
      <w:marLeft w:val="0"/>
      <w:marRight w:val="0"/>
      <w:marTop w:val="0"/>
      <w:marBottom w:val="0"/>
      <w:divBdr>
        <w:top w:val="none" w:sz="0" w:space="0" w:color="auto"/>
        <w:left w:val="none" w:sz="0" w:space="0" w:color="auto"/>
        <w:bottom w:val="none" w:sz="0" w:space="0" w:color="auto"/>
        <w:right w:val="none" w:sz="0" w:space="0" w:color="auto"/>
      </w:divBdr>
    </w:div>
    <w:div w:id="20534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Quinte">
  <a:themeElements>
    <a:clrScheme name="Quintet">
      <a:dk1>
        <a:srgbClr val="222222"/>
      </a:dk1>
      <a:lt1>
        <a:srgbClr val="FFFFFF"/>
      </a:lt1>
      <a:dk2>
        <a:srgbClr val="00666B"/>
      </a:dk2>
      <a:lt2>
        <a:srgbClr val="4B4B4B"/>
      </a:lt2>
      <a:accent1>
        <a:srgbClr val="00666B"/>
      </a:accent1>
      <a:accent2>
        <a:srgbClr val="7B818B"/>
      </a:accent2>
      <a:accent3>
        <a:srgbClr val="FFDC00"/>
      </a:accent3>
      <a:accent4>
        <a:srgbClr val="008A94"/>
      </a:accent4>
      <a:accent5>
        <a:srgbClr val="7FBEDB"/>
      </a:accent5>
      <a:accent6>
        <a:srgbClr val="F18728"/>
      </a:accent6>
      <a:hlink>
        <a:srgbClr val="4B4B4B"/>
      </a:hlink>
      <a:folHlink>
        <a:srgbClr val="4B4B4B"/>
      </a:folHlink>
    </a:clrScheme>
    <a:fontScheme name="Quintet-fonts">
      <a:majorFont>
        <a:latin typeface="Chalet-NewYorkNineteenSixty"/>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99078-A47B-4DBD-B609-881A10C5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2992</Words>
  <Characters>16460</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InsingerGilissen Bankiers N.V.</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Broholm</dc:creator>
  <cp:keywords/>
  <dc:description/>
  <cp:lastModifiedBy>Martijn Roelfsema</cp:lastModifiedBy>
  <cp:revision>3</cp:revision>
  <dcterms:created xsi:type="dcterms:W3CDTF">2021-06-30T10:48:00Z</dcterms:created>
  <dcterms:modified xsi:type="dcterms:W3CDTF">2021-07-09T12:36:00Z</dcterms:modified>
</cp:coreProperties>
</file>